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984/2008 vom 4. Mai 2009</w:t>
      </w:r>
    </w:p>
    <w:p>
      <w:r>
        <w:t>Bundesgericht, 2009-05-04, FR</w:t>
      </w:r>
    </w:p>
    <w:p>
      <w:r>
        <w:rPr>
          <w:b/>
        </w:rPr>
        <w:t xml:space="preserve">Quelle: </w:t>
      </w:r>
      <w:r>
        <w:t>https://mcp.opencaselaw.ch/entscheid/bger_9C_984_2008</w:t>
      </w:r>
    </w:p>
    <w:p>
      <w:r>
        <w:t>FR: TF 9C 984/2008 du 4 mai 2009</w:t>
      </w:r>
    </w:p>
    <w:p>
      <w:r>
        <w:t>IT: TF 9C 984/2008 del 4 maggio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a pour objet le point de savoir si la capacité de travail du recourant ( art. 6 LPGA ) et, partant, son taux d'invalidité (au sens des art. 16 et 17 LPGA ) se sont modifiés - de manière à influencer son droit à la rente (au regard de l' art. 28 al. 1 LAI , dans sa teneur en vigueur jusqu'au 31 décembre 2007) - entre le 17 mai 1991, date de la décision initiale par laquelle cette prestation lui a été accordée, et le 17 février 2006, date de la décision sur opposition litigieuse (sur la base de comparaison déterminante dans le temps, voir ATF 133 V 108 ).</w:t>
      </w:r>
    </w:p>
    <w:p>
      <w:r>
        <w:rPr>
          <w:b/>
        </w:rPr>
        <w:t>E. 2.2</w:t>
      </w:r>
    </w:p>
    <w:p>
      <w:r>
        <w:t>Le jugement entrepris expose correctement les dispositions légales et les principes jurisprudentiels applicables en matière de révision de la rente d'invalidité ( art. 17 LPGA ), de sorte qu'il suffit d'y renvoyer.</w:t>
      </w:r>
    </w:p>
    <w:p>
      <w:r>
        <w:rPr>
          <w:b/>
        </w:rPr>
        <w:t>E. 3.1</w:t>
      </w:r>
    </w:p>
    <w:p>
      <w:r>
        <w:t>Sur la base du rapport d'expertise établi par le docteur N.________, le Tribunal administratif a estimé que le recourant disposait, comme précédemment, d'une capacité résiduelle de travail de 50 %, capacité qu'il pouvait encore exploiter économiquement et de façon réaliste sur le marché général du travail dans une mesure excluant l'octroi d'une rente supérieure à la demi-rente dont il était déjà le bénéficiaire.</w:t>
      </w:r>
    </w:p>
    <w:p>
      <w:r>
        <w:rPr>
          <w:b/>
        </w:rPr>
        <w:t>E. 3.2</w:t>
      </w:r>
    </w:p>
    <w:p>
      <w:r>
        <w:t>Le recourant fait grief au Tribunal administratif d'avoir violé le droit fédéral en considérant que les conditions d'une révision faisaient en l'espèce défaut. Il lui reproche en substance d'avoir suivi sans discernement les conclusions de l'expert N.________, sans examiner dans quelle mesure il pouvait concrètement exploiter sa capacité résiduelle de travail sur le marché du travail.</w:t>
      </w:r>
    </w:p>
    <w:p>
      <w:r>
        <w:rPr>
          <w:b/>
        </w:rPr>
        <w:t>E. 4.1</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w:t>
      </w:r>
    </w:p>
    <w:p>
      <w:r>
        <w:rPr>
          <w:b/>
        </w:rPr>
        <w:t>E. 4.2</w:t>
      </w:r>
    </w:p>
    <w:p>
      <w:r>
        <w:t>En présence d'un état psychique maladif, il y a plus précisément lieu de se demander si et dans quelle mesure la personne assurée peut, malgré l'atteinte à sa santé psychique, exercer une activité lucrative sur un marché du travail équilibré correspondant à ses aptitudes. On ne considère pas comme des conséquences d'un état psychique maladif, donc pas comme des affections à prendre en charge par l'assurance-invalidité, les diminutions de la capacité de gain que l'assuré pourrait empêcher en faisant preuve de bonne volonté. Pour ce faire, il faut examiner quelle est l'activité que l'on peut raisonnablement exiger de lui. Pour admettre l'existence d'une incapacité de gain causée par une atteinte à la santé psychique, il ne suffit donc pas de constater que l'assuré n'exerce pas une activité lucrative suffisante; il convient bien davantage de savoir s'il y a lieu d'admettre qu'on ne saurait exiger de lui, pour des raisons sociales et pratiques, qu'il mette à profit sa capacité de travail ou qu'une telle exigence serait insupportable pour la société ( ATF 102 V 165 ; arrêt I 138/98 du 31 janvier 2000 consid. 2b, in VSI 2001 p. 223; voir également ATF 127 V 298 consid. 4c in fine).</w:t>
      </w:r>
    </w:p>
    <w:p>
      <w:r>
        <w:rPr>
          <w:b/>
        </w:rPr>
        <w:t>E. 5.1</w:t>
      </w:r>
    </w:p>
    <w:p>
      <w:r>
        <w:t>Selon les constatations du docteur N.________, telles que rapportées par le Tribunal administratif, le trouble de la personnalité du recourant ne présentait pas d'évolution significative; bien que sévère, celui-ci était stabilisé. Confronté à des contraintes externes, le recourant ne présentait aucune capacité de travail. En revanche, il était tout à fait capable d'avoir un rendement équivalant à 50 %, s'il était « dans un environnement créé par lui-même dans le domaine artistique et sans contrainte ».</w:t>
      </w:r>
    </w:p>
    <w:p>
      <w:r>
        <w:rPr>
          <w:b/>
        </w:rPr>
        <w:t>E. 5.2</w:t>
      </w:r>
    </w:p>
    <w:p>
      <w:r>
        <w:t>Le fait de retenir, sur la base des constatations qui précèdent, que le recourant pouvait encore exploiter économiquement sa capacité résiduelle de travail sur un marché équilibré du travail - au sens de l' art. 16 LPGA - viole le droit fédéral. Au regard du parcours professionnel du recourant, tel qu'il a été tracé par la juridiction cantonale, on constate que celui-ci n'a jamais réussi à véritablement prendre pied de manière durable dans le monde du travail. Au contraire, il ressort que le recourant a besoin de pouvoir fonctionner de manière parfaitement autonome et en dehors de toute pression extérieure. Le docteur T.________, ancien médecin traitant, relevait en 1990 que « chaque jour cependant, il [le recourant] recourt à une sorte de retraite dans un monde irréel (son « atelier ») où il laisse courir son imagination d' « artiste », exempt de toute pression morale et financière, et sans responsabilité tangible. Ainsi, il se procure un équilibre fragile lui permettant de s'occuper de sa famille » (rapport du 20 mai 1990). Dans un rapport du 14 novembre 1990, le docteur L.________, qui avait été interpellé en qualité d'expert, précisait pour sa part que le recourant « semble avoir pu maintenir un certain équilibre au prix d'un aménagement existentiel très particulier ». Quant au docteur N.________, il a souligné dans son rapport d'expertise du 28 septembre 2004 que « tant qu'il [le recourant] est dans sa petite bulle, il peut fonctionner sans problème ». Bien que le recourant dispose d'une capacité fonctionnelle de travail (fixée médicalement à 50 %), celle-ci ne peut être mise en valeur que dans des conditions particulièrement restreintes que le marché actuel du travail ne connaît pas. Le trouble de la personnalité dont souffre le recourant et ses effets sur le fonctionnement au quotidien exigent qu'il puisse travailler dans un environnement confiné et protégé, en dehors de tout stress professionnel et social. De fait, il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w:t>
      </w:r>
    </w:p>
    <w:p>
      <w:r>
        <w:rPr>
          <w:b/>
        </w:rPr>
        <w:t>E. 6.1</w:t>
      </w:r>
    </w:p>
    <w:p>
      <w:r>
        <w:t>Faute de modification sensible de l'état de santé du recourant depuis le moment de l'octroi initial de la rente d'invalidité, le Tribunal administratif a considéré que les conditions d'une révision n'étaient pas remplies. La question de savoir dans quelle mesure le recourant pouvait encore exploiter économiquement sa capacité résiduelle de travail sur le marché du travail s'était déjà posée au moment de l'examen de la demande de rente et avait été tranchée au moyen d'une décision entrée en force. Dans la mesure où le tribunal cantonal des assurances n'avait pas le pouvoir d'imposer à l'office AI qu'il reconsidère une décision entrée en force, le droit à la demi-rente d'invalidité devait être maintenu.</w:t>
      </w:r>
    </w:p>
    <w:p>
      <w:r>
        <w:rPr>
          <w:b/>
        </w:rPr>
        <w:t>E. 6.2</w:t>
      </w:r>
    </w:p>
    <w:p>
      <w:r>
        <w:t>A la différence de simples fluctuations conjoncturelles (arrêt I 198/76 du 4 octobre 1976 consid. 2, in RCC 1977 p. 206), les modifications structurelles que peut connaître le marché du travail sont des circonstances dont il y a lieu de tenir compte en matière d'assurance-invalidité (arrêt I 436/92 du 29 septembre 1993 consid. 4c et 5b). La structure actuelle du marché du travail n'offre plus les conditions qui permettaient encore à une personne comme le recourant,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de la personnalité constitue, au regard des conditions actuelles du marché du travail, des obstacles irrémédiables à la reprise d'une activité lucrative salariée. En ce sens, il convient d'admettre que les circonstances économiques prévalant au moment de l'octroi de la demi-rente d'invalidité se sont modifiées de telle sorte que le recourant n'est plus en mesure de retrouver un emploi adapté à la structure de sa personnalité sur un marché équilibré du travail. Faute de capacité résiduelle de travail, il présente une invalidité totale et, partant, a droit à une rente entière d'invalidité. Le recours doit être admis et la cause renvoyée à l'office intimé pour qu'il fixe le montant de la rente entière d'invalidité et le moment à compter duquel le recourant a droit à cette rente.</w:t>
      </w:r>
    </w:p>
    <w:p>
      <w:r>
        <w:rPr>
          <w:b/>
        </w:rPr>
        <w:t>E. 7</w:t>
      </w:r>
    </w:p>
    <w:p>
      <w:r>
        <w:t>Vu l'issue du litige, les frais et les dépens de la procédure fédérale doivent être mis à la charge de l'intimé (art. 66 al. 1 et 68 al. 1 LTF; ATF 123 V 159 ). La requête d'assistance judiciaire déposée par le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