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979/2009 vom 10. Februar 2010</w:t>
      </w:r>
    </w:p>
    <w:p>
      <w:r>
        <w:t>Bundesgericht, 2010-02-10, DE</w:t>
      </w:r>
    </w:p>
    <w:p>
      <w:r>
        <w:rPr>
          <w:b/>
        </w:rPr>
        <w:t xml:space="preserve">Quelle: </w:t>
      </w:r>
      <w:r>
        <w:t>https://mcp.opencaselaw.ch/entscheid/bger_9C_979_2009</w:t>
      </w:r>
    </w:p>
    <w:p>
      <w:r>
        <w:t>FR: TF 9C 979/2009 du 10 février 2010</w:t>
      </w:r>
    </w:p>
    <w:p>
      <w:r>
        <w:t>IT: TF 9C 979/2009 del 10 febbraio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2</w:t>
      </w:r>
    </w:p>
    <w:p>
      <w:r>
        <w:t>Im vorinstanzlichen Entscheid werden die gesetzlichen Bestimmungen und die Rechtsprechung zur Invalidität erwerbstätiger Versicherter ( Art. 8 Abs. 1 ATSG ), zum Umfang des Rentenanspruchs ( Art. 28 Abs. 1 IVG ), zur Bemessung des Invaliditätsgrades bei erwerbstätigen Versicherten nach der allgemeinen Methode des Einkommensvergleichs ( Art. 28 Abs. 2 IVG in Verbindung mit Art. 16 ATSG ), zum Zeitpunkt des Rentenbeginns ( Art. 29 Abs. 1 IVG in der seit 1. Januar 2008 gültigen Fassung), zur Aufgabe von Ärztinnen und Ärzten bei der Invaliditätsbemessung ( BGE 125 V 256 E. 4 S. 261) sowie zum Beweiswert medizinischer Berichte und Gutachten ( BGE 125 V 351 E. 3a-c S. 352 ff.) zutreffend dargelegt. Darauf wird verwiesen.</w:t>
      </w:r>
    </w:p>
    <w:p>
      <w:r>
        <w:rPr>
          <w:b/>
        </w:rPr>
        <w:t>E. 3</w:t>
      </w:r>
    </w:p>
    <w:p>
      <w:r>
        <w:t>Es ist unbestritten, dass dem Versicherten leichte, gut angepasste Arbeiten, welche kein Heben schwerer Lasten bedingen und einen Wechsel zwischen Sitzen, Stehen und Gehen erlauben, aus medizinischer Sicht noch zumutbar waren; umstritten ist, ob die verbliebene Resterwerbsfähigkeit angesichts des fortgeschrittenen Alters wirtschaftlich noch verwertbar war.</w:t>
      </w:r>
    </w:p>
    <w:p>
      <w:r>
        <w:rPr>
          <w:b/>
        </w:rPr>
        <w:t>E. 3.1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Urteil 9C_830/2007 vom 29. Juli 2008 E. 5.1, publiziert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(Urteil I 831/05 vom 21. August 2006 E. 4.1.1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das bereits angeführte Urteil I 831/05 a.a.O.; Kasuistik siehe Urteile 9C_918/2008 vom 28. Mai 2009 E. 4.2, 9C_437/2008 vom 19. März 2009 E. 4, I 304/06 vom 22. Januar 2007 E. 4.1 und 4.2, I 376/05 vom 5. August 2005 E. 4.2, I 392/02 vom 23. Oktober 2003 E. 3.2 und 3.3 und I 401/01 vom 4. April 2002 E. 4c und d).</w:t>
      </w:r>
    </w:p>
    <w:p>
      <w:r>
        <w:rPr>
          <w:b/>
        </w:rPr>
        <w:t>E. 4</w:t>
      </w:r>
    </w:p>
    <w:p>
      <w:r>
        <w:t>Die Vorinstanz erwog, obwohl dem Beschwerdegegner leichte, in Wechselpositionen ausführbare Verweisungstätigkeiten ohne Heben schwerer Lasten noch zumutbar seien, falle für ihn ein wesentlicher Teil davon ausser Betracht, weil er für feinmotorische Tätigkeiten über keine Fertigkeiten und keinerlei berufliche Erfahrung verfüge. Er müsse für die ihm effektiv noch möglichen Arbeiten erneut einen Berufswechsel vollziehen, was von einem potenziellen Arbeitgeber einen sehr grossen Aufwand und vom Versicherten ein hohes Mass an Anpassungsfähigkeit verlange. Stelle man die persönlichen und beruflichen Gegebenheiten den objektiven Anforderungen eines ausgeglichenen Arbeitsmarktes gegenüber, sei zum Schluss zu kommen, dass mit überwiegender Wahrscheinlichkeit kein Arbeitgeber den Beschwerdegegner mehr für eine solche Verweisungstätigkeit anstellen würde. Dabei spiele namentlich der Umstand eine Rolle, dass der Versicherte im massgebenden Zeitpunkt des Verfügungserlasses ( BGE 129 V 1 E. 1.2 S. 4) nur sieben Monate vor der Pensionierung gestanden sei. Dies hätte einen durchschnittlichen Arbeitgeber davon abgehalten, die mit der Einstellung verbundenen Risiken und Nachteile noch einzugehen, zumal behindertengerechte Arbeitsplätze auch von Jüngeren stark nachgefragt würden. In Berücksichtigung der gesamten objektiven und subjektiven Umstände sei erstellt, dass die dem Beschwerdegegner verbliebene Restarbeitsfähigkeit auf dem ausgeglichenen Arbeitsmarkt realistischerweise nicht mehr nachgefragt werde, weshalb ihm deren Verwertung auch gestützt auf die Selbsteingliederungspflicht nicht mehr zugemutet werden könne; demnach sei vom Vorliegen einer vollständigen Erwerbsunfähigkeit auszugehen.</w:t>
      </w:r>
    </w:p>
    <w:p>
      <w:r>
        <w:rPr>
          <w:b/>
        </w:rPr>
        <w:t>E. 5</w:t>
      </w:r>
    </w:p>
    <w:p>
      <w:r>
        <w:t>Die Vorinstanz hat mit Recht entschieden, dass dem im Verfügungszeitpunkt rund 64½-jährigen Beschwerdegegner ein iv-rechtlich erheblicher Zugang zum Arbeitsmarkt objektiv gesehen nicht mehr offen stand. Auch bei noch intakter subjektiver Bereitschaft zur Wiedereingliederung waren die Neuanstellungschancen auf dem als ausgeglichen unterstellten Arbeitsmarkt mit überwiegender Wahrscheinlichkeit nicht mehr gegeben. Daran ändert nichts, dass sich die Aussicht auf eine berufliche Wiedereingliederung bei nicht verspäteter Anmeldung möglicherweise anders präsentiert hätte, wie die Beschwerdeführerin rügt. Eine verspätete Anmeldung führt lediglich zu einem späteren Entstehen des Leistungsanspruches und zur Verwirkung hypothetisch aufgelaufener Leistungen. Darüber hinaus könnte ein Zuwarten mit der Anmeldung allenfalls dann relevant sein, wenn die Anmeldung rechtsmissbräuchlich verzögert wurde, um die objektiven Anstellungschancen zu verringern. Dafür finden sich hier keine Indizien. Vielmehr ist davon auszugehen, dass der Beschwerdegegner es unterliess, sich früher bei der Invalidenversicherung anzumelden, da er zunächst die Leistungen der kollektiven Krankentaggeldversicherung des früheren Arbeitgebers und des während der Zeit der beruflichen Selbstständigkeit privat aufgebauten Versicherungsschutzes beanspruchte, bevor er sich um IV-Leistungen bemühte. Vor dem Systemwechsel auf den 1. Januar 2008 wäre es im vorliegenden Kontext gar nicht zur Verspätung gekommen, da in Art. 48 Abs. 2a IVG geregelt war, dass IV-Taggeld- und -Rentenleistungen für die zwölf der Anmeldung vorangehenden Monate ausgerichtet werden, wenn sich ein Versicherter mehr als zwölf Monate nach Entstehen des Anspruchs anmeldet. Erst nach der neuen Regelung in Art. 29 Abs. 1 IVG entsteht der Rentenanspruch wie hier entschieden (frühestens) nach Ablauf von sechs Monaten nach Geltendmachung des Leistungsanspruchs, worunter nach Art. 29 Abs. 1 ATSG die formgültige Anmeldung beim zuständigen Versicherungsträger zu verstehen ist.</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