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9C_976/2011 vom 25. Januar 2012</w:t>
      </w:r>
    </w:p>
    <w:p>
      <w:r>
        <w:t>Bundesgericht, 2012-01-25, FR</w:t>
      </w:r>
    </w:p>
    <w:p>
      <w:r>
        <w:rPr>
          <w:b/>
        </w:rPr>
        <w:t xml:space="preserve">Quelle: </w:t>
      </w:r>
      <w:r>
        <w:t>https://mcp.opencaselaw.ch/entscheid/bger_9C_976_2011</w:t>
      </w:r>
    </w:p>
    <w:p>
      <w:r>
        <w:t>FR: TF 9C_976/2011 du 25 janvier 2012</w:t>
      </w:r>
    </w:p>
    <w:p>
      <w:r>
        <w:t>IT: TF 9C_976/2011 del 25 gennaio 2012</w:t>
      </w:r>
    </w:p>
    <w:p>
      <w:pPr>
        <w:pStyle w:val="Heading2"/>
      </w:pPr>
      <w:r>
        <w:t>Erwägungen</w:t>
      </w:r>
    </w:p>
    <w:p>
      <w:r>
        <w:rPr>
          <w:b/>
        </w:rPr>
        <w:t>E. 1</w:t>
      </w:r>
    </w:p>
    <w:p>
      <w:r>
        <w:t>Par décisions des 8 juillet 2010 (aide au placement) et 3 mai 2011 (rente), l'Office de l'assurance-invalidité du canton de Neuchâtel (ci-après: l'office AI) a rejeté la demande de prestations déposée le 28 août 2007 par M.________.</w:t>
      </w:r>
    </w:p>
    <w:p>
      <w:r>
        <w:rPr>
          <w:b/>
        </w:rPr>
        <w:t>E. 2</w:t>
      </w:r>
    </w:p>
    <w:p>
      <w:r>
        <w:t>Par jugement du 18 novembre 2011, le Tribunal cantonal de la République et canton de Neuchâtel, Cour de droit public, a admis les recours formés par l'assurée, annulés les décisions litigieuses et renvoyé la cause à l'office AI pour pour qu'il procède au sens des considérants.</w:t>
      </w:r>
    </w:p>
    <w:p>
      <w:r>
        <w:rPr>
          <w:b/>
        </w:rPr>
        <w:t>E. 3</w:t>
      </w:r>
    </w:p>
    <w:p>
      <w:r>
        <w:t>L'office AI interjette un recours en matière de droit public contre ce jugement, dont il conclut à l'annulation.</w:t>
      </w:r>
    </w:p>
    <w:p>
      <w:r>
        <w:rPr>
          <w:b/>
        </w:rPr>
        <w:t>E. 4</w:t>
      </w:r>
    </w:p>
    <w:p>
      <w:r>
        <w:t>En tant qu'il renvoie la cause à l'administration pour complément d'instruction, le jugement attaqué constitue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5.1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5.2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6</w:t>
      </w:r>
    </w:p>
    <w:p>
      <w:r>
        <w:t>En l'espèce, l'office recourant n'établit pas que la décision incidente lui causerait, au sens de la jurisprudence précitée, un dommage irréparable ou qu'une décision finale immédiate permettrait d'éviter une procédure probatoire longue et coûteuse. Pour l'essentiel, l'office recourant fait valoir que les éléments versés au dossier étaient suffisants pour statuer sur le rapport de droit litigieux au degré de la vraisemblance prépondérante, sans qu'il ne soit nécessaire de requérir un complément d'instruction sous la forme d'un nouvelle expertise. Cela étant, les griefs évoqués portent, quoi qu'il en soit, sur la constatation des faits des premiers juges et l'appréciation des preuves à laquelle ils ont procédé. Or, même si la décision de renvoi attaquée procédait d'une constatation manifestement erronée des faits pertinents ou d'une violation du droit fédéral, cela ne constituerait pas un dommage qui ne pourrait plus être réparé dans la suite de la procédure. Entrer en matière sur une telle argumentation reviendrait à permettre à quiconque, quelles que soient les circonstances, de faire examiner le litige au fond et viderait par conséquent de son sens l' art. 93 LTF . S'agissant par ailleurs d'une question qui relève de la recevabilité du recours en matière de droit public, les principes posés par le Tribunal fédéral à l' ATF 137 V 210 en matière de respect d'une procédure administrative et de recours équitable n'y changent rien.</w:t>
      </w:r>
    </w:p>
    <w:p>
      <w:r>
        <w:rPr>
          <w:b/>
        </w:rPr>
        <w:t>E. 7</w:t>
      </w:r>
    </w:p>
    <w:p>
      <w:r>
        <w:t>Manifestement irrecevable, le recours formé par l'office recourant doit être traité selon la procédure simplifiée de l' art. 108 al. 1 let. a LTF , sans qu'il y ait lieu d'ordonner un échange d'écriture. Vu l'issue du recours, les frais judiciaires doivent être mis à la charge de l'office recourant, qui succombe ( art. 66 al. 1 LTF ). L'intimée, qui n'a pas été invitée à se déterminer, ne saurait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