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971/2012 vom 13. Februar 2013</w:t>
      </w:r>
    </w:p>
    <w:p>
      <w:r>
        <w:t>Bundesgericht, 2013-02-13, DE</w:t>
      </w:r>
    </w:p>
    <w:p>
      <w:r>
        <w:rPr>
          <w:b/>
        </w:rPr>
        <w:t xml:space="preserve">Quelle: </w:t>
      </w:r>
      <w:r>
        <w:t>https://mcp.opencaselaw.ch/entscheid/bger_9C_971_2012</w:t>
      </w:r>
    </w:p>
    <w:p>
      <w:r>
        <w:t>FR: TF 9C 971/2012 du 13 février 2013</w:t>
      </w:r>
    </w:p>
    <w:p>
      <w:r>
        <w:t>IT: TF 9C 971/2012 del 13 febbraio 2013</w:t>
      </w:r>
    </w:p>
    <w:p>
      <w:pPr>
        <w:pStyle w:val="Heading2"/>
      </w:pPr>
      <w:r>
        <w:t>Regeste</w:t>
      </w:r>
    </w:p>
    <w:p>
      <w:r>
        <w:t>Invalidenversicherung | Invalidenversicherung</w:t>
      </w:r>
    </w:p>
    <w:p>
      <w:pPr>
        <w:pStyle w:val="Heading2"/>
      </w:pPr>
      <w:r>
        <w:t>Erwägungen</w:t>
      </w:r>
    </w:p>
    <w:p>
      <w:r>
        <w:rPr>
          <w:b/>
        </w:rPr>
        <w:t>E. 1.1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137 V 210 E. 4.4.1.4 S. 264).</w:t>
      </w:r>
    </w:p>
    <w:p>
      <w:r>
        <w:rPr>
          <w:b/>
        </w:rPr>
        <w:t>E. 1.2</w:t>
      </w:r>
    </w:p>
    <w:p>
      <w:r>
        <w:t>Die beschwerdeführende IV-Stelle macht geltend, im vorliegenden Fall gehe es weder darum, eine bisher vollständig ungeklärte Frage zu beantworten, noch sei einzig eine Präzisierung oder Ergänzung von gutachterlichen Ausführungen nötig. Ausserhalb dieser Konstellationen sei das kantonale Gericht nicht befugt, die Sache an die IV-Stelle zurückzuweisen. Damit leide der angefochtene Rückweisungsentscheid offensichtlich an einem Rechtsmangel.</w:t>
      </w:r>
    </w:p>
    <w:p>
      <w:r>
        <w:rPr>
          <w:b/>
        </w:rPr>
        <w:t>E. 1.3</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1.4</w:t>
      </w:r>
    </w:p>
    <w:p>
      <w:r>
        <w:t>Der Eintretensgrund von Art. 93 Abs. 1 lit. b BGG fällt hier ohne weiteres ausser Betracht. Derweil kann ein Rückweisungsentscheid der beschwerdeführenden IV-Stelle einmal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SVR 2012 AHV Nr. 15 S. 55, 9C_171/2012 E. 3.3.1). Dies trifft hier aber nicht zu. Zu prüfen bleibt somit, ob eine ungerechtfertigte Rückweisung aus Sicht der IV-Stelle andere nachteilige Konsequenzen haben kann, die sich im Rahmen einer Anfechtung des Endentscheids ( Art. 93 Abs. 3 BGG ) letztinstanzlich nicht gänzlich beseitigen lassen (vgl. BGE 137 III 380 E. 1.2.1 S. 382).</w:t>
      </w:r>
    </w:p>
    <w:p>
      <w:r>
        <w:rPr>
          <w:b/>
        </w:rPr>
        <w:t>E. 2.1</w:t>
      </w:r>
    </w:p>
    <w:p>
      <w:r>
        <w:t>Die (im durch BGE 137 V 210 E. 4.4.1.4 [oben E. 1.1] definierten Umfang bestehende) Verpflichtung der Beschwerdeinstanzen, Gerichtsgutachten einzuholen, dient aus Sicht der versicherten Person zunächst der Fairness des Verfahrens (vgl. BGE 137 V 210 E. 4.2 S. 259); diese wiederum ist wesentliche Voraussetzung einer tragfähigen medizinischen Entscheidungsgrundlage (vgl. BGE 138 V 271 E. 1.2.1 und 1.2.2 S. 275 f.; 137 V 210 E. 2.5 S. 241 mit Hinweisen). An einer solchen müssen versicherte Person und IV-Stelle gleichermassen ein Interesse haben. Zu bedenken ist dabei, dass die IV-Stelle nicht als Partei handelt, sondern als zur Neutralität und Objektivität verpflichtetes Organ des Gesetzesvollzuges, solange in der Sache kein Beschwerdeverfahren angehoben ist. Selbst nach Eintritt der Rechtshängigkeit wird die Verwaltung zwar im prozessualen Sinne zur Partei; sie ist lite pendente indessen weiterhin der Objektivität verpflichtet und hat daher nicht auch im materiellen Sinn Parteieigenschaft ( BGE 136 V 376 E. 4.1.2 S. 378 mit Hinweisen).</w:t>
      </w:r>
    </w:p>
    <w:p>
      <w:r>
        <w:rPr>
          <w:b/>
        </w:rPr>
        <w:t>E. 2.2</w:t>
      </w:r>
    </w:p>
    <w:p>
      <w:r>
        <w:t>In BGE 137 V 210 E. 3.4.2.7 S. 256 hat das Bundesgericht festgehalten, dass bei der Anordnung von Administrativgutachten ein nicht wieder gutzumachender Nachteil eintreten kann: "Für die Beurteilung des Merkmals des nicht wieder gutzumachenden Nachteils im Kontext der Gutachtenanordnung ist an die oben (...)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 von Beginn weg durchgesetzt werden können (...). Greifen die Mitwirkungsrechte erst nachträglich - bei der Beweiswürdigung im Verwaltungs- und Beschwerdeverfahren (...)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 Diese Überlegungen sind im Kontext mit einer (ungerechtfertigten) Rückweisung sinngemäss massgebend. Somit droht hier prinzipiell derselbe Nachteil. Bei Streitigkeiten um die Anordnung von Administrativgutachten steht eine Beschwerdeinstanz zur Verfügung, deren Entscheid allerdings regelmässig nicht an das Bundesgericht weitergezogen werden kann ( BGE 138 V 271 E. 3 S. 278). Im hiesigen Zusammenhang stellt sich die Frage, ob eine Anfechtungsmöglichkeit vor Bundesgericht vorgesehen werden muss, zumal dieses einzige mögliche Beschwerdeinstanz ist.</w:t>
      </w:r>
    </w:p>
    <w:p>
      <w:r>
        <w:rPr>
          <w:b/>
        </w:rPr>
        <w:t>E. 2.3.1</w:t>
      </w:r>
    </w:p>
    <w:p>
      <w:r>
        <w:t>Holt eine Beschwerdeinstanz zu Unrecht kein Gerichtsgutachten ein und weist sie die Sache stattdessen an die IV-Stelle zurück, so beeinträchtigt dieses Vorgehen nach dem Gesagten die mit BGE 137 V 210 E. 4 S. 258 verfolgte Zielsetzung. Die nach Art. 93 Abs. 1 lit. a BGG ausnahmsweise gegebene Anfechtbarkeit eines Zwischenentscheids steht indessen nur zur Diskussion, wenn ein effektiver Rechtsschutz ( Art. 6 Ziff. 1 EMRK , Art. 29 ff. BV ; BGE 138 V 271 E. 3.1 S. 278) nicht auf andere Weise gewährleistet werden kann (vgl. BGE a.a.O. E. 3.2 S. 278). Diese Anforderung ist erfüllt: Das Bundesgericht wird im Fall eines Weiterzugs des Endentscheids prüfen, ob die Rückweisung an die Verwaltung gerechtfertigt war. Verneint es diese Frage, so kann es die Sache seinerseits an die erste Beschwerdeinstanz zurückweisen, damit diese ein Gerichtsgutachten einhole. Mit dieser Begründung ist das Bundesgericht in einer unfallversicherungsrechtlichen Angelegenheit auf die entsprechende Beschwerde einer Versicherten nicht eingetreten (SVR 2012 UV Nr. 19 S. 71, 8C_760/2011 E. 3).</w:t>
      </w:r>
    </w:p>
    <w:p>
      <w:r>
        <w:rPr>
          <w:b/>
        </w:rPr>
        <w:t>E. 2.3.2</w:t>
      </w:r>
    </w:p>
    <w:p>
      <w:r>
        <w:t>Zur Beantwortung der Frage, in welchen Fällen so verfahren werden soll, ist sinngemäss auf die Rechtsprechung zurückzugreifen, wonach (in Übergangssituationen) ein nach altem Standard (das heisst noch ohne Gewährung der in BGE 137 V 210 statuierten Beteiligungsrechte) in Auftrag gegebenes Gutachten grundsätzlich zwar eine massgebende Entscheidungsgrundlage bildet. Das Manko wird jedoch bei der Beweiswürdigung berücksichtigt;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(Urteile 9C_495/2012 vom 4. Oktober 2012 E. 2.2 und 2.3 sowie 9C_148/2012 vom 17. September 2012 E. 1.3 und 1.4; ferner SVR 2012 IV Nr. 32 S. 127, 9C_776/2010 E. 3.3 in fine; Urteile 9C_942/2011 vom 6. Juli 2012 E. 5.2 und 8C_360/2011 vom 13. Februar 2012 E. 4.2; vgl. auch BGE 137 V 210 E. 6 Ingress S. 266). Auf den hiesigen Kontext übertragen bedeutet dies, dass das Bundesgericht die Sache zwecks Einholung eines Gerichtsgutachtens an die erste Beschwerdeinstanz zurückweist, sobald der Beweiswert des nach einer ungerechtfertigten (vgl. oben E. 1.1) Rückweisung eingeholten Administrativgutachtens auch nur relativ geringfügig beeinträchtigt erscheint.</w:t>
      </w:r>
    </w:p>
    <w:p>
      <w:r>
        <w:rPr>
          <w:b/>
        </w:rPr>
        <w:t>E. 2.4</w:t>
      </w:r>
    </w:p>
    <w:p>
      <w:r>
        <w:t>Die IV-Stellen tragen bei einer ungerechtfertigten Rückweisung (jedenfalls) einen zusätzlichen Abklärungsaufwand sowie (gegebenenfalls) das Risiko, dass das neu eingeholte Administrativgutachten letztlich wiederum nicht als genügende Beweisgrundlage angesehen wird. Rein tatsächliche Nachteile wie eine Verlängerung und Verteuerung des Verfahrens allein reichen nach gefestigter Rechtsprechung indessen nicht aus, um einen nicht wieder gutzumachenden Nachteil anzunehmen ( BGE 137 III 380 E. 1.2.1 S. 382 mit Hinweisen). Darüber hinaus entsteht nach dem Gesagten kein irreversibler Nachteil. Somit entfällt die Möglichkeit einer Beschwerde an das Bundesgericht. Die bereits mit Urteil 8C_760/2011 E. 3 (SVR 2012 UV Nr. 19 S. 71) in diesem Sinne gegebene Antwort auf die in BGE 137 V 210 E. 4.4.1.4 in fine S. 265 offen gelassene Frage ist zu bestätigen.</w:t>
      </w:r>
    </w:p>
    <w:p>
      <w:r>
        <w:rPr>
          <w:b/>
        </w:rPr>
        <w:t>E. 2.5</w:t>
      </w:r>
    </w:p>
    <w:p>
      <w:r>
        <w:t>Vom Grundsatz der Nichtanhandnahme direkter Beschwerden gegen ungerechtfertigte Rückweisungsentscheide wäre allenfalls eine Ausnahme zu machen, wenn sich inskünftig zeigen sollte, dass ein Gericht regelmässig entsprechend vorgeht (vgl. BGE 138 V 271 E. 4 S. 280).</w:t>
      </w:r>
    </w:p>
    <w:p>
      <w:r>
        <w:rPr>
          <w:b/>
        </w:rPr>
        <w:t>E. 3</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