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968/2012 vom 22. Oktober 2013</w:t>
      </w:r>
    </w:p>
    <w:p>
      <w:r>
        <w:t>Bundesgericht, 2013-10-22, FR</w:t>
      </w:r>
    </w:p>
    <w:p>
      <w:r>
        <w:rPr>
          <w:b/>
        </w:rPr>
        <w:t xml:space="preserve">Quelle: </w:t>
      </w:r>
      <w:r>
        <w:t>https://mcp.opencaselaw.ch/entscheid/bger_9C_968_2012</w:t>
      </w:r>
    </w:p>
    <w:p>
      <w:r>
        <w:t>FR: TF 9C 968/2012 du 22 octobre 2013</w:t>
      </w:r>
    </w:p>
    <w:p>
      <w:r>
        <w:t>IT: TF 9C 968/2012 del 22 ottobre 2013</w:t>
      </w:r>
    </w:p>
    <w:p>
      <w:pPr>
        <w:pStyle w:val="Heading2"/>
      </w:pPr>
      <w:r>
        <w:t>Regeste</w:t>
      </w:r>
    </w:p>
    <w:p>
      <w:r>
        <w:t>Prestation complémentaire à l'AVS/AI | Prestations complémentaires à l'AVS/AI</w:t>
      </w:r>
    </w:p>
    <w:p>
      <w:pPr>
        <w:pStyle w:val="Heading2"/>
      </w:pPr>
      <w:r>
        <w:t>Erwägungen</w:t>
      </w:r>
    </w:p>
    <w:p>
      <w:r>
        <w:rPr>
          <w:b/>
        </w:rPr>
        <w:t>E. 1.1</w:t>
      </w:r>
    </w:p>
    <w:p>
      <w:r>
        <w:t>En tant qu'il renvoie la cause à l'administration, le jugement entrepris doit être qualifié de décision incidente ( ATF 133 V 477 consid. 4.2 p. 481 s. et les références).</w:t>
      </w:r>
    </w:p>
    <w:p>
      <w:r>
        <w:rPr>
          <w:b/>
        </w:rPr>
        <w:t>E. 1.2</w:t>
      </w:r>
    </w:p>
    <w:p>
      <w:r>
        <w:t>Selon l' art. 93 al. 1 LTF , les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Le renvoi de la cause pour instruction complémentaire et nouvelle décision n'occasionne un dommage irréparable à l'autorité administrative que dans la mesure où la décision de renvoi comporte des instructions contraignantes sur la manière dont cette autorité devra trancher certains aspects du rapport litigieux ( ATF 133 V 477 consid. 5.2 p. 483), restreignant ainsi de manière importante sa latitude de jugement, si bien qu'elle ne peut plus s'en écarter ( ATF 133 V 477 consid. 5.2 p. 483).</w:t>
      </w:r>
    </w:p>
    <w:p>
      <w:r>
        <w:rPr>
          <w:b/>
        </w:rPr>
        <w:t>E. 1.3</w:t>
      </w:r>
    </w:p>
    <w:p>
      <w:r>
        <w:t>En l'occurrence, le jugement attaqué a un effet contraignant pour le service recourant en ce sens que celui-ci doit prendre en considération dans le calcul rétrospectif des prestations complémentaires une diminution progressive de fortune pendant la période comprise entre le 1er décembre 2007 et le 30 septembre 2009. Dès lors, il entraîne sans aucun doute un préjudice irréparable au sens de l' art. 93 al. 1 let. a LTF , si bien qu'il y a lieu d'entrer en matière sur le recours.</w:t>
      </w:r>
    </w:p>
    <w:p>
      <w:r>
        <w:rPr>
          <w:b/>
        </w:rPr>
        <w:t>E. 2</w:t>
      </w:r>
    </w:p>
    <w:p>
      <w:r>
        <w:t>Le service recourant n'a pas qualité pour former un recours en matière de droit public contre le jugement de l'instance précédente, dans la mesure où il concernerait des prestations complémentaires de droit cantonal ( ATF 134 V 53 consid. 2.3 p. 57 ss). C'est donc à raison qu'il a limité ses conclusions aux prestations complémentaires fondées sur le droit fédéral.</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4</w:t>
      </w:r>
    </w:p>
    <w:p>
      <w:r>
        <w:t>Le litige porte sur la détermination du montant dû par l'intimée au titre de la restitution des prestations complémentaires fédérales qui lui ont été versées à tort entre le 1er décembre 2007 et fin septembre 2009, singulièrement - compte tenu des griefs du service recourant - sur le montant de la fortune devant être prise en considération dans le calcul rétrospectif des prestations complémentaires fédérales afférentes à cette période. Il y a lieu encore de préciser que seule peut se poser en l'espèce la question de savoir si l'intimée est tenue de restituer 30'742 fr., comme retenu par le premier jugement cantonal du 14 octobre 2010, ou, au plus, 32'907 fr., comme établi par le SPC dans sa décision sur opposition du 9 novembre 2009.</w:t>
      </w:r>
    </w:p>
    <w:p>
      <w:r>
        <w:rPr>
          <w:b/>
        </w:rPr>
        <w:t>E. 5.1</w:t>
      </w:r>
    </w:p>
    <w:p>
      <w:r>
        <w:t>En l'occurrence, la juridiction cantonale a substantiellement considéré que, dans le calcul rétrospectif du droit aux prestations complémentaires, il fallait tenir compte non seulement du montant de l'héritage mais aussi d'une diminution progressive de fortune qui serait immanquablement survenue dans la mesure où l'intimée aurait dû puiser dans celle-ci pour faire face à ses besoins vitaux en raison de la diminution ou de la suppression des prestations complémentaires.</w:t>
      </w:r>
    </w:p>
    <w:p>
      <w:r>
        <w:rPr>
          <w:b/>
        </w:rPr>
        <w:t>E. 5.2</w:t>
      </w:r>
    </w:p>
    <w:p>
      <w:r>
        <w:t>Se référant à l'arrêt du Tribunal fédéral 9C_20/2011 du 20 février 2012, selon lequel un amortissement systématique de la fortune est prohibé, le service recourant estime pour l'essentiel que la diminution de fortune retenue par la juridiction cantonale est contraire à la jurisprudence et ne doit par conséquent pas être prise en considération. Il soutient implicitement que la fortune déterminante reste constante durant toute la période litigieuse.</w:t>
      </w:r>
    </w:p>
    <w:p>
      <w:r>
        <w:rPr>
          <w:b/>
        </w:rPr>
        <w:t>E. 6</w:t>
      </w:r>
    </w:p>
    <w:p>
      <w:r>
        <w:t>Contrairement à ce que prétend le recourant, l'arrêt en question n'exclut pas l'intégration d'une diminution de fortune dans le calcul rétroactif du droit aux prestations complémentaires consécutif à la perception d'un héritage par le bénéficiaire de celles-ci. Une telle interdiction serait contraire au principe selon lequel y a lieu dans ce contexte de tenir compte des faits susceptibles d'affecter, à la hausse ou à la baisse, les revenus déterminants du bénéficiaire ( ATF 122 V 19 consid. 5c p. 26). L'arrêt évoqué prohibe uniquement un amortissement de la fortune systématique et indépendant des circonstances particulières, telle l'intégration dans le calcul rétroactif du seul montant de l'héritage, réduit chaque année à partir de la seconde de la somme touchée l'année précédente à titre de prestations complémentaires. En soi, le renvoi auquel a procédé la juridiction cantonale ne viole donc pas le droit fédéral. Il s'agira cependant pour l'administration de compléter l'instruction du dossier en prenant concrètement en considération l'évolution de tous les éléments de fortune à la hausse et à la baisse, notamment ceux qui n'ont pas encore été investigués (comptes bancaires, actions, etc.), et en refaisant des calculs qui reflètent la situation financière effective de l'intimée afin d'éviter le procédé systématique décrit.</w:t>
      </w:r>
    </w:p>
    <w:p>
      <w:r>
        <w:rPr>
          <w:b/>
        </w:rPr>
        <w:t>E. 7</w:t>
      </w:r>
    </w:p>
    <w:p>
      <w:r>
        <w:t>Compte tenu de ce qui précède, le recours est mal fondé. Vu l'issue du litige, le recourant supportera les frais judiciaires ( art. 66 al. 1 LTF ), ainsi que l'indemnité de dépens à laquelle a droit l'intimée pour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