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9C_966/2010 vom 29. April 2011</w:t>
      </w:r>
    </w:p>
    <w:p>
      <w:r>
        <w:t>Bundesgericht, 2011-04-29, FR</w:t>
      </w:r>
    </w:p>
    <w:p>
      <w:r>
        <w:rPr>
          <w:b/>
        </w:rPr>
        <w:t xml:space="preserve">Quelle: </w:t>
      </w:r>
      <w:r>
        <w:t>https://mcp.opencaselaw.ch/entscheid/bger_9C_966_2010</w:t>
      </w:r>
    </w:p>
    <w:p>
      <w:r>
        <w:t>FR: TF 9C_966/2010 du 29 avril 2011</w:t>
      </w:r>
    </w:p>
    <w:p>
      <w:r>
        <w:t>IT: TF 9C_966/2010 del 29 aprile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le plan formel, le recourant invoque une violation du principe de la maxime inquisitoire ( art. 43 al. 1 LPGA ) et de son droit d'être entendu ( art. 29 al. 2 Cst. ), en tant que le Tribunal cantonal du canton du Valais, Cour des assurances sociales, ne l'aurait pas soumis à une expertise médicale indépendante.</w:t>
      </w:r>
    </w:p>
    <w:p>
      <w:r>
        <w:rPr>
          <w:b/>
        </w:rPr>
        <w:t>E. 2.2</w:t>
      </w:r>
    </w:p>
    <w:p>
      <w:r>
        <w:t>La violation de la maxime inquisitoire et la violation du droit d'être entendu (sur cette notion en corrélation avec l'administration de preuves, cf. ATF 130 II 425 consid. 2.1 p. 429, 119 Ib 492 consid. 5b/bb p. 505), telles qu'invoquées par le recourant, sont des questions qui se confondent et qui n'ont pas de portée propre par rapport au grief tiré d'une mauvaise appréciation des preuves. L'assureur ou le juge peut effectivement renoncer à accomplir certains actes d'instruction sans que cela n'entraîne une violation du principe de la maxime inquisitoire ou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 C'est donc sous l'angle matériel qu'il convient d'examiner les griefs soulevés par le recourant.</w:t>
      </w:r>
    </w:p>
    <w:p>
      <w:r>
        <w:rPr>
          <w:b/>
        </w:rPr>
        <w:t>E. 3.1</w:t>
      </w:r>
    </w:p>
    <w:p>
      <w:r>
        <w:t>Se fondant sur les conclusions concordantes des docteurs B.________ et E.________, l'instance cantonale a retenu que le recourant avait recouvré une pleine capacité de travail dans une activité adaptée. Les avis divergents des médecins traitants ne permettaient pas de s'écarter de cette constatation. L'activité de Y.________ n'était pas pleinement adaptée aux limitations fonctionnelles du recourant, alors que celle préconisée par les médecins du SMR et de la CNA était en adéquation avec d'importants problèmes de genoux et les douleurs qui les accompagnaient.</w:t>
      </w:r>
    </w:p>
    <w:p>
      <w:r>
        <w:rPr>
          <w:b/>
        </w:rPr>
        <w:t>E. 3.2</w:t>
      </w:r>
    </w:p>
    <w:p>
      <w:r>
        <w:t>Le recourant reproche aux premiers juges d'avoir procédé à une constatation manifestement inexacte des faits pertinents, consécutive à une mauvaise appréciation des preuves. Son activité actuelle serait adaptée et on ne saurait exiger de lui qu'il l'exerce à plus de 50 %. Pour en décider autrement, les premiers juges auraient pris en compte uniquement les rapports établis par les docteurs B.________ et E.________, en ignorant totalement les constatations contraires émanant des différents documents médicaux qu'il a versés au dossier. Ces rapports comporteraient au demeurant une importante lacune en ce qu'ils méconnaîtraient l'ampleur de ses douleurs, facteur qui serait pourtant décisif dans l'appréciation de sa capacité de travail.</w:t>
      </w:r>
    </w:p>
    <w:p>
      <w:r>
        <w:rPr>
          <w:b/>
        </w:rPr>
        <w:t>E. 4.1</w:t>
      </w:r>
    </w:p>
    <w:p>
      <w:r>
        <w:t>Le Tribunal fédéral n'examine le résultat de l'appréciation des preuves à laquelle a procédé l'autorité cantonale de recours que sous l'angle restreint de l'arbitraire.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5</w:t>
      </w:r>
    </w:p>
    <w:p>
      <w:r>
        <w:t>Il n'y a pas lieu de s'écarter en l'espèce des conclusions concordantes des rapports des docteurs B.________ et E.________, selon lesquelles le recourant a une capacité de travail entière dans une activité adaptée. L'argumentation développée par le recourant dans le cadre de son recours en matière de droit public ne permet pas d'établir que cette constatation serait manifestement inexacte. Certes, les docteurs G.________ et L.________ retiennent une capacité de travail de 50 % dans l'activité habituelle. Cela étant, aucun élément objectif ressortant des rapports de ces médecins ne tend à démontrer que celle-ci serait la seule que l'on pourrait exiger du recourant, exploiterait la totalité de sa capacité résiduelle de travail et serait parfaitement adaptée à ses limitations fonctionnelles. La controverse relative à la boiterie et à l'importance des douleurs du recourant n'a pas à être tranchée, puisque l'activité adaptée telle que décrite par les docteurs B.________ et E.________ est principalement sédentaire (activité en position alternée mais à prédominance assise avec possibilité de changer fréquemment de position, sans port de charges supérieures à 5 à 10 kilogrammes et sans déplacements en terrains accidentés). Quant aux autres rapports médicaux produits par le recourant, ils ne sauraient affaiblir les constatations de ces médecins, étant donné qu'ils ne se prononcent pas sur sa capacité résiduelle de travail.</w:t>
      </w:r>
    </w:p>
    <w:p>
      <w:r>
        <w:rPr>
          <w:b/>
        </w:rPr>
        <w:t>E. 6</w:t>
      </w:r>
    </w:p>
    <w:p>
      <w:r>
        <w:t>C'est également à bon droit que les premiers juges ont refusé de mettre le recourant au bénéfice de mesures de reclassement, faute pour lui d'être suffisamment disposé à suivre de telles mesures. En se focalisant sur son activité actuelle, qui ne peut être exercée qu'à temps partiel, le recourant méconnaît que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 (Message du 22 juin 2005 concernant la modification de la loi fédérale sur l'assurance-invalidité [5e révision de l'AI], FF 2005 4223, n. 1.1.1.2). De ce principe découle notamment qu'un invalide doit faire les efforts que l'on peut raisonnablement exiger de lui pour atténuer le mieux possible les conséquences de son invalidité, au besoin en changeant de profession. Or, le recourant a adopté, tout au long de la procédure, une attitude négative face aux propositions qui lui ont été faites en lien avec l'exercice d'une nouvelle activité professionnelle. Dans ces conditions, on ne saurait faire grief à l'OAI d'avoir mis un terme aux démarches visant à favoriser sa réintégration professionnelle. A cet égard, il y a lieu de rappeler que si, comme il l'affirme, son état de santé n'est pas totalement stabilisé, cela est dû en partie à sa persistance à pratiquer une activité que l'OAI considère comme non adaptée.</w:t>
      </w:r>
    </w:p>
    <w:p>
      <w:r>
        <w:rPr>
          <w:b/>
        </w:rPr>
        <w:t>E. 7</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