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964/2012 vom 6. Mai 2013</w:t>
      </w:r>
    </w:p>
    <w:p>
      <w:r>
        <w:t>Bundesgericht, 2013-05-06, DE</w:t>
      </w:r>
    </w:p>
    <w:p>
      <w:r>
        <w:rPr>
          <w:b/>
        </w:rPr>
        <w:t xml:space="preserve">Quelle: </w:t>
      </w:r>
      <w:r>
        <w:t>https://mcp.opencaselaw.ch/entscheid/bger_9C_964_2012</w:t>
      </w:r>
    </w:p>
    <w:p>
      <w:r>
        <w:t>FR: TF 9C 964/2012 du 6 mai 2013</w:t>
      </w:r>
    </w:p>
    <w:p>
      <w:r>
        <w:t>IT: TF 9C 964/2012 del 6 maggio 2013</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Entscheide, die das Verfahren abschliessen (Endentscheide; Art. 90 BGG ). Gegen einen Zwischenentscheid ( BGE 133 V 477 S. 481 f. E. 4.2 und 5.1)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 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Bezeichnung entscheidend, sondern sein Inhalt (Urteil 9C_392/2012 vom 17. Dezember 2012 E. 2.3).</w:t>
      </w:r>
    </w:p>
    <w:p>
      <w:r>
        <w:rPr>
          <w:b/>
        </w:rPr>
        <w:t>E. 1.2</w:t>
      </w:r>
    </w:p>
    <w:p>
      <w:r>
        <w:t>Nach Art. 61 lit. d ATSG ist das Versicherungsgericht an die Begehren der Parteien nicht gebunden. Es kann eine Verfügung oder einen Einspracheentscheid zu Ungunsten der beschwerdeführenden Person ändern oder dieser mehr zusprechen, als sie verlangt hat, wobei den Parteien vorher Gelegenheit zur Stellungnahme sowie zum Rückzug der Beschwerde zu geben ist. Geht ein kantonales Gericht im Sinne dieser Bestimmung vor und weist es eine Partei auf eine drohende reformatio in peius hin, so handelt es sich nicht um einen Zwischenentscheid im Sinne von Art. 93 BGG . Mit der angefochtenen instruktionsrichterlichen Massnahme wurde der Beschwerdeführerin das rechtliche Gehör gewährt, und sie wurde auf die Möglichkeit des Rückzugs der Beschwerde hingewiesen, bevor das Kollegialgericht in der Sache entscheidet, weshalb die Androhung als solche auch keinen nicht wieder gut zu machenden Nachteil bewirken kann. Die in der angefochtenen Ziffer 5 des Dispositivs angeordnete instruktionsrichterliche Massnahme ist in Nachachtung von Art. 61 lit. d ATSG erfolgt und enthält einzig das in dieser Vorschrift vorgeschriebene Vorgehen. Aus diesem Grund ist auf die Beschwerde, soweit sie sich gegen Ziffer 5 des Dispositivs der Verfügung vom 19. Oktober 2012 richtet, nicht einzutreten.</w:t>
      </w:r>
    </w:p>
    <w:p>
      <w:r>
        <w:rPr>
          <w:b/>
        </w:rPr>
        <w:t>E. 2.1</w:t>
      </w:r>
    </w:p>
    <w:p>
      <w:r>
        <w:t>Gemäss Art. 61 ATSG richtet sich das Verfahren vor den kantonalen Versicherungsgerichten unter Vorbehalt von Art. 1 Abs. 3 VwVG sowie den in Art. 61 ATSG enthaltenen Minimalanforderungen nach kantonalem Recht. Weder die in Art. 1 Abs. 3 VwVG für das kantonale Verfahren als massgebend bezeichneten Artikel des VwVG noch Art. 61 ATSG enthalten Bestimmungen über die Unterschrift kantonaler Entscheide. Diese Frage beurteilt sich somit nach kantonalem Recht (Urteil I 252 /06 vom 14. Juli 2006 [SVR 2007 IV Nr. 19 S. 68]; Kieser, ATSG-Kommentar, 2. Auflage, 2009, N. 130 zu Art. 61).</w:t>
      </w:r>
    </w:p>
    <w:p>
      <w:r>
        <w:rPr>
          <w:b/>
        </w:rPr>
        <w:t>E. 2.2</w:t>
      </w:r>
    </w:p>
    <w:p>
      <w:r>
        <w:t>Wie sich aus dem Rubrum der angefochtenen Verfügung ergibt, ist diese vom Vizepräsidenten als Instruktionsrichter getroffen und einzig vom Gerichtsschreiber unterzeichnet worden. Dieses Vorgehen ist zulässig, wenn Entscheide, die keine Sachentscheide darstellen, lediglich vom Gerichtsschreiber, welcher in diesem Zusammenhang die Funktion einer Urkundsperson hat, unterzeichnet werden. In der Beschwerde wird keine kantonale Bestimmung angeführt, wonach instruktionsrichterliche Massnahmen in bestimmten Fällen durch das Kollegialgericht zu entscheiden sind, und es wird auch keine kantonale Bestimmung angeführt, wonach verfahrensleitende Verfügungen durch den Instruktionsrichter zu unterzeichnen sind und nicht nur durch den Gerichtsschreiber. Soweit sich die Beschwerdeführerin auf § 53 des Gesetzes über die Gerichtsorganisation (GOG, BGS 125.12) beruft, wonach das kantonale Versicherungsgericht seine Entscheide grundsätzlich in Dreierbesetzung fällt, so lässt sich daraus nicht ableiten, dass auch instruktionsrichterliche Massnahmen vom Kollegialgericht zu treffen sind. Vielmehr ist es allgemein üblich, dass das referierende Gerichtsmitglied zuständig ist für Instruktionsmassnahmen. Dies gilt auch für das in Art. 61 lit. d ATSG vorgeschriebene Vorgehen im Falle einer reformatio in peius. Entgegen der Auffassung der Beschwerdeführerin geht es bei der Androhung der reformatio in peius auch nicht um einen Entscheid mit weitreichenden Konsequenzen. Das Vorgehen dient einzig der Gewährung des rechtlichen Gehörs und bindet das in der Sache entscheidende Kollegialgericht in keiner Weise. Es kann daher keine Rede davon sein, dass die angefochtene Verfügung nichtig ist. Aus Art. 30 Abs. 1 BV und aus Art. 6 Ziff. 1 EMRK ergibt sich nicht etwas Anderes.</w:t>
      </w:r>
    </w:p>
    <w:p>
      <w:r>
        <w:rPr>
          <w:b/>
        </w:rPr>
        <w:t>E. 3</w:t>
      </w:r>
    </w:p>
    <w:p>
      <w:r>
        <w:t>Gemäss Art. 61 lit. f ATSG muss das Recht, sich verbeiständen zu lassen, gewährleistet sein. Wo die Verhältnisse es rechtfertigen, wird der beschwerdeführenden Person ein unentgeltlicher Rechtsbeistand bewilligt. Zum Zeitpunkt, in welchem das Gesuch um unentgeltliche Prozessführung und Verbeiständung zu entscheiden ist, äussert sich das Gesetz nicht. Die diesbezüglichen Einzelheiten werden vielmehr dem kantonalen Verfahrensrecht überlassen (vgl. auch Art. 65 VwVG ). In der Beschwerde wird nicht gerügt, die Vorinstanz habe kantonales Recht verletzt. Soweit sich die Beschwerdeführerin auf Art. 29 Abs. 1 und 3 BV beruft, geht ihre Argumentation fehl. Es gibt keine bundesrechtliche Verpflichtung, über das Gesuch um unentgeltliche Verbeiständung vor der Stellungnahme zur reformatio in peius zu entscheiden. Im Zuwarten mit dem Entscheid bis nach der Stellungnahme kann auch keine Rechtsverzögerung oder Rechtsverweigerung erblickt werden. Es gibt durchaus sachliche Gründe, die Frage der Aussichtslosigkeit der Beschwerde und damit über das Gesuch erst nach Eingang der Stellungnahme zu entscheiden. Mit der Beschwerdeerhebung hat der Rechtsbeistand einen grossen Teil seines Aufwands bereits betrieben und die Verfahrensakten sind ihm bekannt. Die mit der Stellungnahme zur angedrohten reformatio in peius verbundenen Aufwendungen dürften sich in der Regel in überblickbarem Rahmen halten, weshalb aus dieser Sicht grundsätzlich kein Anlass besteht, über das Gesuch um unentgeltliche Verbeiständung vor Abschluss des Instruktionsverfahrens zu entscheiden.</w:t>
      </w:r>
    </w:p>
    <w:p>
      <w:r>
        <w:rPr>
          <w:b/>
        </w:rPr>
        <w:t>E. 4</w:t>
      </w:r>
    </w:p>
    <w:p>
      <w:r>
        <w:t>Entsprechend dem Ausgang des Verfahrens hat die Beschwerdeführerin die Gerichtskosten zu tragen ( Art. 66 Abs. 1 BGG ), nachdem ihr Gesuch um unentgeltliche Rechtspflege mit Verfügung vom 18. Februar 2013 abgewiesen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