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964/2010 vom 30. Mai 2011</w:t>
      </w:r>
    </w:p>
    <w:p>
      <w:r>
        <w:t>Bundesgericht, 2011-05-30, FR</w:t>
      </w:r>
    </w:p>
    <w:p>
      <w:r>
        <w:rPr>
          <w:b/>
        </w:rPr>
        <w:t xml:space="preserve">Quelle: </w:t>
      </w:r>
      <w:r>
        <w:t>https://mcp.opencaselaw.ch/entscheid/bger_9C_964_2010</w:t>
      </w:r>
    </w:p>
    <w:p>
      <w:r>
        <w:t>FR: TF 9C 964/2010 du 30 mai 2011</w:t>
      </w:r>
    </w:p>
    <w:p>
      <w:r>
        <w:t>IT: TF 9C 964/2010 del 30 maggio 2011</w:t>
      </w:r>
    </w:p>
    <w:p>
      <w:pPr>
        <w:pStyle w:val="Heading2"/>
      </w:pPr>
      <w:r>
        <w:t>Regeste</w:t>
      </w:r>
    </w:p>
    <w:p>
      <w:r>
        <w:t>Assurance-invalidité | Assurance-invalidité</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Le recours interjeté céans est formé pour violation du droit fédéral ( art. 95 let. a LTF ) - incluant les droits fondamentaux - et est dirigé contre une décision rendue en dernière instance cantonale ( art. 86 al. 1 let . d LTF) dans une cause de droit public ( art. 82 let. a LTF ) sans qu'aucune des exceptions prévues à l' art. 83 LTF ne soit réalisée. En tant que la voie du recours en matière de droit public est ouverte, le recours constitutionnel subsidiaire est irrecevable ( art. 113 LTF ).</w:t>
      </w:r>
    </w:p>
    <w:p>
      <w:r>
        <w:rPr>
          <w:b/>
        </w:rPr>
        <w:t>E. 3</w:t>
      </w:r>
    </w:p>
    <w:p>
      <w:r>
        <w:t>Le litige porte sur le droit du recourant à l'assistance gratuite d'un conseil juridique, au sens de l' art. 37 al. 4 LPGA . D'après cette disposition, pareille assistance est accordée lorsque les circonstances l'exigent. Devant le tribunal cantonal des assurances, les conditions d'octroi de l'assistance judiciaire sont moins restrictives; il suffit que les circonstances le justifient ( art. 61 let . f LPGA). La juridiction cantonale a exposé correctement la portée de l' art. 37 al. 4 LPGA . Il convient ainsi de renvoyer au consid. 2a du jugement attaqué.</w:t>
      </w:r>
    </w:p>
    <w:p>
      <w:r>
        <w:rPr>
          <w:b/>
        </w:rPr>
        <w:t>E. 4</w:t>
      </w:r>
    </w:p>
    <w:p>
      <w:r>
        <w:t>En bref, le tribunal cantonal a considéré que l'affaire ne présentait aucun caractère exceptionnel lors de la phase d'instruction administrative qui a suivi le préavis de l'office intimé. Il a admis que les questions litigieuses, qui consistaient essentiellement dans l'appréciation de la valeur probante de rapports médicaux afin de déterminer la capacité de travail, ne présentaient a priori pas de difficultés particulières, en fait ou en droit. Le tribunal a précisé que ces questions étaient uniquement d'ordre médical et non juridiques. Le tribunal cantonal a aussi précisé que contrairement aux allégations du recourant, le litige ne s'inscrivait pas dans le cadre de règles complexes de coordination avec l'assurance-chômage, car il n'incombait pas à l'assurance-invalidité d'appliquer cette législation. Quant au complément d'instruction médical, il était réclamé uniquement par le recourant, ce qui ne permettait pas en soi de déduire que le dossier présentait une certaine complexité.</w:t>
      </w:r>
    </w:p>
    <w:p>
      <w:r>
        <w:rPr>
          <w:b/>
        </w:rPr>
        <w:t>E. 5</w:t>
      </w:r>
    </w:p>
    <w:p>
      <w:r>
        <w:t>Le recourant soutient que l'intervention d'un avocat spécialisé est particulièrement nécessaire afin de convaincre l'office intimé de ses erreurs et de lui rendre justice. A cet effet, il allègue qu'une analyse très fine des rapports médicaux et de leur impact juridique est nécessaire. Il ajoute que le calcul correct de la capacité de travail exigible relève d'une question de droit et non d'une question médicale. Par ailleurs, le recourant estime que ses capacités intellectuelles et son état psychique affaibli ne lui permettaient pas de faire face à la pression psychologique constante et abrasive d'une procédure administrative tortueuse et compliquée à souhait pour le laïc. Enfin, il met en exergue les conséquences juridiques et financières graves liées à l'octroi ou au refus d'une rente.</w:t>
      </w:r>
    </w:p>
    <w:p>
      <w:r>
        <w:rPr>
          <w:b/>
        </w:rPr>
        <w:t>E. 6</w:t>
      </w:r>
    </w:p>
    <w:p>
      <w:r>
        <w:t>Les arguments du recourant ne constituent que de simples allégués, dénués de pertinence. En particulier, il n'expose pas en quoi le tribunal cantonal aurait apprécié la situation de façon insoutenable, lorsqu'il a admis que les questions litigieuses consistaient essentiellement dans l'appréciation de la valeur probante de rapports médicaux afin de déterminer la capacité de travail, et que ces questions ne présentaient a priori pas de difficultés particulières, en fait ou en droit. Devant le Tribunal fédéral, il incombait au recourant de démontrer en quoi les circonstances du cas d'espèce rendaient la présence d'un avocat indispensable à compter du moment où l'intimé avait rendu son préavis du 8 février 2010. Son discours se limite toutefois à donner son appréciation personnelle de la situation en s'appuyant sur des critiques vagues et d'ordre général, ce qui ne permet pas de remettre en cause le bien-fondé de l'appréciation des premiers juges.</w:t>
      </w:r>
    </w:p>
    <w:p>
      <w:r>
        <w:rPr>
          <w:b/>
        </w:rPr>
        <w:t>E. 7</w:t>
      </w:r>
    </w:p>
    <w:p>
      <w:r>
        <w:t>Les recours étaient voués à l'échec, de sorte que l'une des conditions cumulatives de l'octroi de l'assistance judiciaire pour la procédure fédérale n'est pas réalisée ( art. 64 al. 1 LTF ). Vu les circonstances, il sera renoncé à la perception de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