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9C_964/2009 vom 29. Januar 2010</w:t>
      </w:r>
    </w:p>
    <w:p>
      <w:r>
        <w:t>Bundesgericht, 2010-01-29, DE</w:t>
      </w:r>
    </w:p>
    <w:p>
      <w:r>
        <w:rPr>
          <w:b/>
        </w:rPr>
        <w:t xml:space="preserve">Quelle: </w:t>
      </w:r>
      <w:r>
        <w:t>https://mcp.opencaselaw.ch/entscheid/bger_9C_964_2009</w:t>
      </w:r>
    </w:p>
    <w:p>
      <w:r>
        <w:t>FR: TF 9C_964/2009 du 29 janvier 2010</w:t>
      </w:r>
    </w:p>
    <w:p>
      <w:r>
        <w:t>IT: TF 9C_964/2009 del 29 gennaio 2010</w:t>
      </w:r>
    </w:p>
    <w:p>
      <w:pPr>
        <w:pStyle w:val="Heading2"/>
      </w:pPr>
      <w:r>
        <w:t>Erwägungen</w:t>
      </w:r>
    </w:p>
    <w:p>
      <w:r>
        <w:rPr>
          <w:b/>
        </w:rPr>
        <w:t>E. 1.1</w:t>
      </w:r>
    </w:p>
    <w:p>
      <w:r>
        <w:t>Angefochten ist einzig Dispositiv-Ziffer 3 des vorinstanzlichen Entscheids, welche die Beschwerde führende Versicherungsgesellschaft zur Bezahlung einer anteilsmässigen Parteientschädigung an den Beschwerdegegner verpflichtet.</w:t>
      </w:r>
    </w:p>
    <w:p>
      <w:r>
        <w:rPr>
          <w:b/>
        </w:rPr>
        <w:t>E. 1.2</w:t>
      </w:r>
    </w:p>
    <w:p>
      <w:r>
        <w:t>Das kantonale Gericht hat die streitige Parteientschädigung zu Lasten der Beschwerdeführerin gestützt auf Art. 109 Ziff. 3 Abs. 2 des Bernischen Gesetzes über die Verwaltungsrechtspflege vom 23. Mai 1989 (VRPG; BSG 155.21) festgesetzt. Diese Bestimmung sieht eine Ausnahme vom in Abs. 1 enthaltenen Grundsatz der Verteilung der Verfahrens- und Parteikosten nach Massgabe des Prozessausgangs und lautet wie folgt:</w:t>
      </w:r>
    </w:p>
    <w:p>
      <w:r>
        <w:t>"Hat die obsiegende Partei zuviel gefordert oder den Prozessaufwand durch unnötige Weitläufigkeiten vermehrt, so kann je nach den Umständen auf eine verhältnismässige Teilung der Verfahrens- und Parteikosten erkannt werden."</w:t>
      </w:r>
    </w:p>
    <w:p>
      <w:r>
        <w:rPr>
          <w:b/>
        </w:rPr>
        <w:t>E. 1.3</w:t>
      </w:r>
    </w:p>
    <w:p>
      <w:r>
        <w:t>Das kantonale Gericht hat erwogen, tatsächlich sei der Kläger verantwortlich dafür, dass die Klage mangels Passivlegitimation abzuweisen sei. Er gelte mithin als unterliegend, gleichzeitig müsse jedoch das Verhalten der Beklagten und deren Zeichnungsberechtigten, welche im Übrigen auch bei der effektiv passivlegitimierten BVG-Sammelstiftung zeichnungsberechtigt seien, als in hohem Masse verwirrend betrachtet werden. Dadurch, dass sie sich in der mit dem Anwalt des Klägers geführten Korrespondenz durchwegs auf dem falschen Briefpapier auf eine Diskussion eingelassen habe, müsse ihr ein erhebliches Mitverschulden für die damit bewirkte unnötige Weitläufigkeit des Verfahrens - welche insbesondere allein betreffend die Frage der Passivlegitimation einen doppelten Schriftenwechsel erforderte und nun in einer Abweisung mangels Passivlegitimation ende - zuerkannt werden. Insoweit habe die Beklagte dem Kläger einen Anteil seiner Parteikosten bestimmt auf pauschal Fr. 500.- zu bezahlen (Hinweis auf MERKLI/AESCHLIMANN/HERZOG, Kommentar zum Gesetz vom 23. Mai 1989 über die Verwaltungsrechtspflege des Kantons Bern, Bern 1997, Art. 109 N. 9).</w:t>
      </w:r>
    </w:p>
    <w:p>
      <w:r>
        <w:rPr>
          <w:b/>
        </w:rPr>
        <w:t>E. 2.1</w:t>
      </w:r>
    </w:p>
    <w:p>
      <w:r>
        <w:t>Mit dem kantonalen Recht hat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Eine Bundesrechtsverletzung im Sinne von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Parteientschädigungen praktisch nur das Willkürverbot ( Art. 9 BV ) in Betracht ( BGE 125 V 408 E. 3a S. 408 mit Hinweisen; SVR 2006 BVG Nr. 19 S. 75 E. 9.1.1 [in BGE 132 V 127 nicht publiziert]; Urteil 9C_911/2007 vom 23. Juni 2008, E. 2.2.1; Seiler/ von Werdt/Güngerich, Bundesgerichtsgesetz [BGG], Bern 2007, N. 21 und 22 zu Art. 95).</w:t>
      </w:r>
    </w:p>
    <w:p>
      <w:r>
        <w:rPr>
          <w:b/>
        </w:rPr>
        <w:t>E. 2.2</w:t>
      </w:r>
    </w:p>
    <w:p>
      <w:r>
        <w:t>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je mit Hinweisen).</w:t>
      </w:r>
    </w:p>
    <w:p>
      <w:r>
        <w:rPr>
          <w:b/>
        </w:rPr>
        <w:t>E. 2.3</w:t>
      </w:r>
    </w:p>
    <w:p>
      <w:r>
        <w:t>Art. 109 Ziff. 3 Abs. 2 VRPG enthält eine Kann-Formulierung und räumt den kantonalen Behörden damit Ermessen ein, und zwar sowohl in Bezug auf die Frage, ob von der Möglichkeit der anteilmässigen Parteikostenauflage auch an die obsiegende Partei überhaupt Gebrauch gemacht werden soll (Entschliessungsermessen), als auch hinsichtlich der Bemessung der Höhe der Parteientschädigung im konkreten Einzelfall (Auswahlermessen). Ein Rechtsfehler liegt deshalb nur vor, wenn das kantonale Gericht den ihm eingeräumten Ermessensspielraum missbraucht oder überschreitet ( BGE 130 III 213 E. 3.1 S. 220 mit Hinweisen; Seiler/von Werdt/ Güngerich, a.a.O., N. 52 zu Art. 95). Im vorliegenden Fall rügt die Beschwerdeführerin zu Recht weder Ermessensmissbrauch noch Ermessensüberschreitung.</w:t>
      </w:r>
    </w:p>
    <w:p>
      <w:r>
        <w:rPr>
          <w:b/>
        </w:rPr>
        <w:t>E. 3.1</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u.a. hinsichtlich der Verletzung von Grundrechten, insbesondere auch des Willkürverbots. Das Bundesgericht prüft eine solche Rüge nur insofern, als sie in der Beschwerde präzise vorgebracht und begründet worden ist ( Art. 106 Abs. 2 BGG ; BGE 133 II 249 E. 1.4.2 S. 254).</w:t>
      </w:r>
    </w:p>
    <w:p>
      <w:r>
        <w:rPr>
          <w:b/>
        </w:rPr>
        <w:t>E. 3.2</w:t>
      </w:r>
    </w:p>
    <w:p>
      <w:r>
        <w:t>Fraglich ist, ob die Beschwerde der qualifizierten Rügepflicht im Zusammenhang mit der auf kantonalem Recht beruhenden Parteientschädigung genügt. Die Frage kann jedoch offenbleiben, da eine willkürliche Anwendung kantonalen Rechts nicht vorliegt. Zunächst übersieht die Beschwerdeführerin, dass der Anspruch auf Parteientschädigung im Verfahren nach Art. 73 BVG kantonalrechtlicher Natur ist (SVR 2006 BVG Nr. 19 S. 75 E. 9.1 mit Hinweisen [in BGE 132 V 127 nicht publiziert]) und im kantonalen Verfahrensrecht eine gesetzliche Grundlage besteht ( BGE 128 V 323 E. 1a). Die Auferlegung einer Parteientschädigung an die obsiegende Vorsorgeeinrichtung setzt daher nicht voraus, dass ihr Mutwilligkeit oder Leichtsinnigkeit im Sinne von Art. 73 Abs. 2 BVG vorgeworfen werden kann. Vielmehr steht es den Kantonen frei, für die Verteilung der Parteikosten auch auf das Verursacherprinzip abzustellen (Urteil 9C_911/2007 vom 23. Juni 2008, E. 2).</w:t>
      </w:r>
    </w:p>
    <w:p>
      <w:r>
        <w:t>Soweit die Beschwerdeführerin rügt, die Vorinstanz habe tatsachenwidrig festgestellt, dass ihr ein verwirrendes Verhalten vorzuwerfen sei, weil sie sich auf dem falschen Briefpapier auf eine Diskussion eingelassen habe, geht ihr Einwand fehl. Es ist unbestritten und geht aus den in den Akten liegenden Schriftstücken hervor, dass die Beschwerdeführerin auch im zweiten Verfahren mit dem Versicherten auf eigenem Briefpapier korrespondiert und das Vertretungsverhältnis für die BVG-Sammelstiftung nicht erwähnt hat. Es liegt daher in diesem Punkt keine aktenwidrige Tatsachenfeststellung vor. Soweit daraus das kantonale Gericht die Schlussfolgerung gezogen hat, die Beschwerdeführerin habe selbst bei Berücksichtigung des ersten Klageverfahrens zur Verwirrung über die Passivlegitimation beigetragen und damit zur Weitläufigkeit des zweiten Klageverfahrens beigetragen, so ist diese Auffassung nicht willkürlich. Nachdem die Beschwerdeführerin auch nach dem ersten Gerichtsentscheid mit dem eigenen Briefpapier vorbehaltlos mit dem Rechtsvertreter des Versicherten korrespondiert hat, trägt sie eine Mitverantwortung für den Fehler des Anwalts bei der Einreichung der zweiten Klage.</w:t>
      </w:r>
    </w:p>
    <w:p>
      <w:r>
        <w:t>Zu Unrecht erblickt die Beschwerdeführerin schliesslich eine Aktenwidrigkeit darin, dass das kantonale Gericht seinen Entscheid damit begründet habe, wegen ihrem Verhalten habe alleine wegen der Passivlegitimation ein doppelter Schriftenwechsel durchgeführt werden müssen. Das kantonale Gericht hat lediglich einen Teil des dem vorinstanzlichen Kläger erwachsenen Aufwands der Beschwerdeführerin angelastet. Eine Teilentschädigung für den Aufwand im Zusammenhang mit der Einreichung der Klage ist daher nicht willkürlich.</w:t>
      </w:r>
    </w:p>
    <w:p>
      <w:r>
        <w:rPr>
          <w:b/>
        </w:rPr>
        <w:t>E. 4</w:t>
      </w:r>
    </w:p>
    <w:p>
      <w:r>
        <w:t>Die Beschwerde ist nach dem Gesagten abzuweisen. Bei diesem Verfahrensausgang ist das Gesuch um aufschiebende Wirkung der Beschwerde gegenstandslos geworden. Die bundesgerichtlichen 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