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960/2009 vom 24. Februar 2010</w:t>
      </w:r>
    </w:p>
    <w:p>
      <w:r>
        <w:t>Bundesgericht, 2010-02-24, FR</w:t>
      </w:r>
    </w:p>
    <w:p>
      <w:r>
        <w:rPr>
          <w:b/>
        </w:rPr>
        <w:t xml:space="preserve">Quelle: </w:t>
      </w:r>
      <w:r>
        <w:t>https://mcp.opencaselaw.ch/entscheid/bger_9C_960_2009</w:t>
      </w:r>
    </w:p>
    <w:p>
      <w:r>
        <w:t>FR: TF 9C 960/2009 du 24 février 2010</w:t>
      </w:r>
    </w:p>
    <w:p>
      <w:r>
        <w:t>IT: TF 9C 960/2009 del 24 febbraio 2010</w:t>
      </w:r>
    </w:p>
    <w:p>
      <w:pPr>
        <w:pStyle w:val="Heading2"/>
      </w:pPr>
      <w:r>
        <w:t>Regeste</w:t>
      </w:r>
    </w:p>
    <w:p>
      <w:r>
        <w:t>Assurance-invalidité | Assurance-invalidité</w:t>
      </w:r>
    </w:p>
    <w:p>
      <w:pPr>
        <w:pStyle w:val="Heading2"/>
      </w:pPr>
      <w:r>
        <w:t>Erwägungen</w:t>
      </w:r>
    </w:p>
    <w:p>
      <w:r>
        <w:rPr>
          <w:b/>
        </w:rPr>
        <w:t>E. 1.1</w:t>
      </w:r>
    </w:p>
    <w:p>
      <w:r>
        <w:t>Bien que le dispositif du jugement entrepris renvoie la cause à l'office recourant, il ne s'agit pas d'une décision incidente au sens de l' art. 93 LTF car la juridiction cantonale a statué définitivement sur les points contestés, le renvoi de la cause ne visant que le calcul de la rente d'invalidité allouée. Le recours est dès lors recevable puisqu'il est dirigé contre un jugement final (cf. art. 90 LTF ; arrêt 9C_684/2007 du 27 septembre 2007 consid. 1.1, in SVR 2008 IV n° 39 p. 131).</w:t>
      </w:r>
    </w:p>
    <w:p>
      <w:r>
        <w:rPr>
          <w:b/>
        </w:rPr>
        <w:t>E. 1.2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2.1</w:t>
      </w:r>
    </w:p>
    <w:p>
      <w:r>
        <w:t>Le litige porte sur le droit de l'intimé à une rente (entière) d'invalidité, singulièrement sur l'existence d'une atteinte à la santé invalidante au sens de la loi. A cet égard, le jugement entrepris expose correctement les règles légales et la jurisprudence sur les notions d'invalidité et d'atteinte à la santé psychique ainsi que les principes jurisprudentiels relatifs à l'appréciation des preuves et à la valeur probante des rapports médicaux. Il suffit donc d'y renvoyer.</w:t>
      </w:r>
    </w:p>
    <w:p>
      <w:r>
        <w:rPr>
          <w:b/>
        </w:rPr>
        <w:t>E. 2.2</w:t>
      </w:r>
    </w:p>
    <w:p>
      <w:r>
        <w:t>Comme l'a à juste titre rappelé la juridiction cantonale,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 ATF 124 V 265 consid. 3c p. 268). On ajoutera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arrêt I 169/06 du 8 août 2006, consid. 2.2 et les arrêts cités; arrêt 9C_395/2007 du 15 avril 2008 consid. 2.2).</w:t>
      </w:r>
    </w:p>
    <w:p>
      <w:r>
        <w:rPr>
          <w:b/>
        </w:rPr>
        <w:t>E. 3</w:t>
      </w:r>
    </w:p>
    <w:p>
      <w:r>
        <w:t>Invoquant à la fois une appréciation arbitraire des preuves et une violation du droit, le recourant reproche en substance aux premiers juges d'avoir retenu, en se fondant sur les conclusions du docteur U.________, que l'intimé souffrait de troubles psychiques (trouble de déficit de l'attention avec hyperactivité de l'adulte [TDAH], troubles du comportement avec traits de personnalité anxieuse) qui avaient entraîné la consommation de drogues, et considéré que ceux-ci étaient constitutifs d'une comorbidité psychiatrique grave à l'origine de la toxicomanie. Il leur fait également grief d'avoir écarté le rapport du docteur L.________ au motif qu'il était dénué de valeur probante.</w:t>
      </w:r>
    </w:p>
    <w:p>
      <w:r>
        <w:rPr>
          <w:b/>
        </w:rPr>
        <w:t>E. 3.1</w:t>
      </w:r>
    </w:p>
    <w:p>
      <w:r>
        <w:t>Lorsque, comme en l'occurrence,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(arrêts 4P.263/2003 du 1er avril 2004 consid. 2.1, 9C_395/2007 du 15 avril 2008 consid. 4.1; voir également ATF 125 V 351 consid. 3b/aa p. 352 et les références).</w:t>
      </w:r>
    </w:p>
    <w:p>
      <w:r>
        <w:rPr>
          <w:b/>
        </w:rPr>
        <w:t>E. 3.2</w:t>
      </w:r>
    </w:p>
    <w:p>
      <w:r>
        <w:t>Dans son rapport du 4 mai 2009 (anamnèse, p. 4 ss), qui répond aux exigences posées par la jurisprudence en la matière (cf. ATF 125 V 351 consid. 3a p. 352), l'expert a fait état des différents éléments qui l'avaient conduit - malgré la difficulté de diagnostiquer la présence d'un TDAH chez un sujet souffrant de toxicodépendance et d'un état anxio-dépressif chronique - à admettre que l'assuré était atteint d'un TDAH et présentait des traits de personnalité anxieuse et dépendante apparus très tôt dans son parcours. Il a par ailleurs expliqué que ces troubles, amplifiés par le traumatisme d'abus sexuel subi à l'âge de huit ans, avaient contribué au développement de la toxicodépendance, laquelle avait, à son tour, entraîné des séquelles neuropsychiatriques (notamment troubles sévères de la mémoire épisodique, déficit sévère de l'attention, trouble modéré à sévère des fonctions exécutives, troubles modérés de la mémoire de travail en modalité verbale), dont certaines étaient accentuées par l'état anxio-dépressif. Quoi qu'en dise le recourant, qui se limite dans une large mesure à opposer sa propre appréciation à celle du psychiatre, les conclusions de l'expertise, qui confirment pour l'essentiel les évaluations antérieures des docteurs A.________ (rapport du 22 avril 2005) et M.________ (rapport du 26 février 2008) n'apparaissent ni contradictoires, ni entachées d'un défaut manifeste. L'évaluation spécialisée de l'état de santé psychique d'un assuré implique forcément que l'expert se prononce sur le passé de l'intéressé en se fondant tant sur les éléments rapportés par celui-ci que sur ceux ressortant du dossier médical. On ne voit dès lors pas en quoi le fait que l'expert s'est déterminé sur des faits remontant à l'enfance et l'adolescence de l'intimé impliquerait d'emblée un diagnostic erroné. De même, la gravité des troubles diagnostiqués par l'expert ne saurait être niée pour le seul motif que l'intimé a terminé sa scolarité obligatoire et obtenu un certificat fédéral d'apprentissage de vendeur comme le soutient le recourant. Selon les constatations des premiers juges, l'intimé a dès son plus jeune âge présenté d'importantes difficultés scolaires - selon le docteur A.________ (rapport du 22 avril 2005), il a été suivi pendant trois ans par un pédopsychiatre, présentant depuis l'enfance un état dépressif récurrent - et fait face à différents échecs au cours de son apprentissage, de sorte qu'on ne saurait douter du lien entre ces difficultés et les troubles mis en évidence par l'expert. L'argumentation que développe le recourant en rapport avec l'évaluation des séquelles neuropsychologiques effectuée par l'expert n'est par ailleurs pas pertinente, puisqu'il se contente de formuler l'hypothèse que l'intimé consommerait "d'autres substances" que de la méthadone.</w:t>
      </w:r>
    </w:p>
    <w:p>
      <w:r>
        <w:rPr>
          <w:b/>
        </w:rPr>
        <w:t>E. 3.3</w:t>
      </w:r>
    </w:p>
    <w:p>
      <w:r>
        <w:t>C'est en vain, ensuite, que le recourant reproche à la juridiction cantonale de s'être écarté de l'évaluation du docteur L.________. En premier lieu, son argument tiré d'une prétendue violation de l'obligation de motivation - pour autant que ce grief puisse être considéré comme suffisamment motivé au sens de l' art. 106 al. 2 LTF - n'est pas fondé. Si la juridiction cantonale s'est limitée à renvoyer à son ordonnance du 28 novembre 2008 en ce qui concerne les raisons pour lesquelles elle avait écarté l'expertise du psychiatre mandaté par le recourant, faute de valeur probante, le recourant a toutefois été en mesure de comprendre le jugement entrepris sur ce point et d'en saisir la portée, comme le démontre l'argumentation qu'il a développée à ce sujet. En second lieu, les considérations qui ont conduit les premiers juges à s'écarter du rapport du docteur L.________ ne sont pas entachées d'arbitraire, quoi qu'en dise le recourant.</w:t>
      </w:r>
    </w:p>
    <w:p>
      <w:r>
        <w:rPr>
          <w:b/>
        </w:rPr>
        <w:t>E. 3.4</w:t>
      </w:r>
    </w:p>
    <w:p>
      <w:r>
        <w:t>Le recourant soutient encore que la juridiction cantonale ne pouvait pas considérer les limitations que présentait l'intimé sur le plan social - telles que mises en évidence par le docteur U.________ - comme invalidantes, mais aurait dû établir pour quelle part les empêchements rencontrés par l'assuré relevaient de causes étrangères à l'assurance-invalidité. Au regard des principes jurisprudentiels relatifs au rôle des facteurs psychosociaux ou socioculturels ( ATF 127 V 294 ), cités par le recourant, son argumentation n'est pas pertinente. Il ressort en effet des conclusions de l'expert U.________ que l'état pathologique (notamment troubles cognitifs sévères, anxiété envahissante, important ralentissement psychomoteur) rendait l'assuré totalement incapable d'exercer une activité lucrative, alors que la situation de désinsertion sociale et d'isolement affectif aggravait ces troubles et fragilisait l'abstinence de l'intéressé. Dans la mesure où les éléments psychosociaux aggravaient des troubles psychiques qui limitaient déjà entièrement, en tant que tels, la capacité de travail de l'intimé, leur influence n'avait pas à être examinée plus avant.</w:t>
      </w:r>
    </w:p>
    <w:p>
      <w:r>
        <w:rPr>
          <w:b/>
        </w:rPr>
        <w:t>E. 4</w:t>
      </w:r>
    </w:p>
    <w:p>
      <w:r>
        <w:t>Il découle de ce qui précède que le recours est mal fondé.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