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9C_95/2007 vom 29. August 2007</w:t>
      </w:r>
    </w:p>
    <w:p>
      <w:r>
        <w:t>Bundesgericht, 2007-08-29, DE</w:t>
      </w:r>
    </w:p>
    <w:p>
      <w:r>
        <w:rPr>
          <w:b/>
        </w:rPr>
        <w:t xml:space="preserve">Quelle: </w:t>
      </w:r>
      <w:r>
        <w:t>https://mcp.opencaselaw.ch/entscheid/bger_9C_95_2007</w:t>
      </w:r>
    </w:p>
    <w:p>
      <w:r>
        <w:t>FR: TF 9C_95/2007 du 29 août 2007</w:t>
      </w:r>
    </w:p>
    <w:p>
      <w:r>
        <w:t>IT: TF 9C_95/2007 del 29 agosto 2007</w:t>
      </w:r>
    </w:p>
    <w:p>
      <w:pPr>
        <w:pStyle w:val="Heading2"/>
      </w:pPr>
      <w:r>
        <w:t>Erwägungen</w:t>
      </w:r>
    </w:p>
    <w:p>
      <w:r>
        <w:rPr>
          <w:b/>
        </w:rPr>
        <w:t>E. 1</w:t>
      </w:r>
    </w:p>
    <w:p>
      <w:r>
        <w:t>Der angefochtene Entscheid betrifft Leistungen der Invalidenversicherung. Die Beschwerde in öffentlich-rechtlichen Angelegenheiten kann daher gemäss Art. 95 und 96 BGG nur wegen Rechtsverletzungen erhoben werden.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 Diese Kognitionsregelung bedeutet, dass das Bundesgericht den angefochtenen Entscheid grundsätzlich nur daraufhin überprüfen kann und darf, ob er materielles oder formelles Bundesrecht verletzt. An die vorinstanzlichen Sachverhaltsfeststellungen ist es auch insoweit gebunden, als diese auf richterlicher Beweiswürdigung beruhen. Die Tatsachenfeststellungen des kantonalen Gerichts sind im bundesgerichtlichen Verfahren nur insoweit noch rüg- und korrigierbar, als die hiefür in Art. 97 Abs. 1 BGG statuierten Voraussetzungen - offensichtliche Unrichtigkeit der Tatsachenfeststellungen oder Rechtsverletzung bei der Feststellung des Sachverhaltes und Entscheidrelevanz der fehlerhaften Sachverhaltsfeststellung - substantiiert werden und erfüllt sind.</w:t>
      </w:r>
    </w:p>
    <w:p>
      <w:r>
        <w:rPr>
          <w:b/>
        </w:rPr>
        <w:t>E. 2</w:t>
      </w:r>
    </w:p>
    <w:p>
      <w:r>
        <w:t>Streitig ist, ob dem Beschwerdeführer eine ganze Invalidenrente zusteht. Das kantonale Gericht hat die für die Beurteilung des Leistungsanspruchs einschlägigen Rechtsgrundlagen zutreffend dargelegt. Darauf kann verwiesen werden.</w:t>
      </w:r>
    </w:p>
    <w:p>
      <w:r>
        <w:rPr>
          <w:b/>
        </w:rPr>
        <w:t>E. 3.1</w:t>
      </w:r>
    </w:p>
    <w:p>
      <w:r>
        <w:t>Der Beschwerdeführer rügt unter dem Titel "Feststellung des Sachverhaltes in Verletzung bundesrechtlicher Vorschriften, insbesondere Verletzung des Untersuchungsgrundsatzes" im Wesentlichen Folgendes:</w:t>
      </w:r>
    </w:p>
    <w:p>
      <w:r>
        <w:t>Das (zweite) Gutachten der Medas sei unvollständig und zum Teil widersprüchlich, weil die Gutachter das Vorliegen einer Wurzelreizung lediglich als möglich diagnostiziert hätten, obwohl eine Wurzelkompression im MRT nachgewiesen worden sei. Ferner gehe aus dem Gutachten nicht klar hervor, weshalb die Arbeitsfähigkeit des Beschwerdeführers in einer leidensangepassten Tätigkeit exakt auf 50 % festgesetzt worden sei. Ebenso hätten die Gutachter nicht ausreichend begründet, weshalb sie die abweichende Einschätzung einer 100%igen "Erwerbsunfähigkeit" durch Prof. Dr. med. R.________ als unrichtig erachteten. Schliesslich sei die "Methodik" des (zweiten) Medas-Gutachtens ungenügend, weil es auf drei Teilbegutachtungen beruhe. Richtigerweise hätten "sowohl internistisch-somatische als auch psychiatrisch-psychosoziale Faktoren in einen Arbeitsgang integriert" werden müssen.</w:t>
      </w:r>
    </w:p>
    <w:p>
      <w:r>
        <w:rPr>
          <w:b/>
        </w:rPr>
        <w:t>E. 3.2</w:t>
      </w:r>
    </w:p>
    <w:p>
      <w:r>
        <w:t>Mit diesen Vorbringen macht der Beschwerdeführer keinerlei Rechtsverletzung, namentlich auch nicht eine Verletzung des Untersuchungsgrundsatzes ( Art. 61 lit. c ATSG ) geltend, sondern rügt einzig die Beweiswürdigung des kantonalen Gerichts, welches der Arbeitsfähigkeitsbeurteilung - 50%ige Restarbeitsfähigkeit in einer leidensangepassten leichten bis mittelschweren Tätigkeit - der Medas-Gutachter volle Beweiskraft beigemessen hat. Dabei geht es um eine vorinstanzliche Tatsachenfeststellung (vgl. BGE 132 V 393 E. 3.2 S. 398), an welche das Bundesgericht nur dann nicht gebunden wäre, wenn sie offensichtlich unrichtig oder die Vorinstanz dabei in Bundesrecht verletzender Weise verfahren wäre. Inwiefern die vorinstanzliche Würdigung der beiden Medas-Gutachten aber qualifiziert falsch sein soll, wird vom Beschwerdeführer in keiner Weise substantiiert. Vielmehr bemängelt er nur die Einschätzung der ihm verbliebenen Arbeits- und Leistungsfähigkeit durch die Medas-Gutachter in ihrer zweiten Expertise vom 29. August 2005. Insbesondere legt er nicht dar, inwiefern die Vorinstanz einzelne inhaltliche oder formelle Kriterien missachtet hätte, die gewahrt sein müssen, damit einem medizinischen Gutachten im Rahmen der Beweiswürdigung volle Beweiskraft beigemessen werden darf. Wird aber eine qualifiziert falsche Beweiswürdigung vom Beschwerdeführer nicht einmal ansatzweise gerügt, hat sich das Bundesgericht auch nicht mit den vorgebrachten, konkreten Bemängelungen des der Beweiswürdigung zugrunde liegenden Medas-Gutachtens zu befassen.</w:t>
      </w:r>
    </w:p>
    <w:p>
      <w:r>
        <w:rPr>
          <w:b/>
        </w:rPr>
        <w:t>E. 4.1</w:t>
      </w:r>
    </w:p>
    <w:p>
      <w:r>
        <w:t>Unter dem Titel "Verletzung von Art. 28 Abs. 2 IVG (Begriff des Invalideneinkommens)" rügt der Beschwerdeführer ferner, die von der IV-Stelle und vom kantonalen Gericht genannten konkreten Verweisungstätigkeiten seien alle "repetitiver und monotoner Natur" und deshalb gemäss Medas-Gutachten für den Beschwerdeführer nicht "ausführbar". Eine Arbeitstätigkeit, wie sie im (zweiten) Medas-Gutachten vom Beschwerdeführer "gefordert" werde, existiere auf dem fiktiven ausgeglichenen Arbeitsmarkt gar nicht.</w:t>
      </w:r>
    </w:p>
    <w:p>
      <w:r>
        <w:rPr>
          <w:b/>
        </w:rPr>
        <w:t>E. 4.2</w:t>
      </w:r>
    </w:p>
    <w:p>
      <w:r>
        <w:t>Das kantonale Gericht hat die von der IV-Stelle im Einspracheentscheid genannten konkreten Verweisungstätigkeiten nicht übernommen, sondern lediglich festgehalten, es könne nicht zweifelhaft sein, dass dem Beschwerdeführer trotz seines Gesundheitsschadens noch Beschäftigungen offen stünden, in denen er die ihm verbliebene, zumutbare Arbeitsfähigkeit verwerten könne. Die diesbezügliche Tatsachenfeststellung rügt der Beschwerdeführer zu Recht nicht als offensichtlich unrichtig, weshalb das Bundesgericht daran gebunden ist.</w:t>
      </w:r>
    </w:p>
    <w:p>
      <w:r>
        <w:rPr>
          <w:b/>
        </w:rPr>
        <w:t>E. 4.3</w:t>
      </w:r>
    </w:p>
    <w:p>
      <w:r>
        <w:t>Soweit der Beschwerdeführer nach dem objektiven Sinn seiner Rüge geltend macht, die Vorinstanz sei von einem falschen Begriff des ausgeglichenen Arbeitsmarktes mit einem zu extensiven Angebotsfächer an Arbeitsgelegenheiten ausgegangen, wirft er eine Rechtsfrage auf. Indessen hat das kantonale Gericht zutreffend festgehalten, beim ausgeglichenen Arbeitsmarkt gehe es "nicht um reale, geschweige denn offene Stellen, sondern um (gesundheitlich zumutbare) Arbeitsmöglichkeiten, welche der Arbeitsmarkt von seiner Struktur her, jedoch abstrahiert von den konjunkturellen Verhältnissen, umfasst". Diese Umschreibung entspricht dem von der Rechtsprechung entwickelten Begriffsinhalt des ausgeglichenen Arbeitsmarktes (vgl. BGE 110 V 271 E. 4b S. 276). Demgemäss umfasst der ausgeglichene Arbeitsmarkt selbst sogenannte Nischenarbeitsplätze, also Stellen- und Arbeitsangebote, bei welchen Behinderte mit einem sozialen Entgegenkommen von Seiten des Arbeitgebers rechnen können (ARV 1989 Nr. 5 S. 30 E. 3b/aa; Urteil P. vom 29. Januar 2003, U 425/00, E. 4.4). Von einer Verletzung von Bundesrecht mit Bezug auf den vom kantonalen Gericht seinem Urteil zugrunde gelegten Begriff des allgemeinen Arbeitsmarktes kann daher keine Rede sein.</w:t>
      </w:r>
    </w:p>
    <w:p>
      <w:r>
        <w:rPr>
          <w:b/>
        </w:rPr>
        <w:t>E. 5</w:t>
      </w:r>
    </w:p>
    <w:p>
      <w:r>
        <w:t>Zusammenfassend hat der Beschwerdeführer nicht substantiiert dargelegt, dass und weshalb das Bundesgericht an die tatsächlichen Feststellungen des kantonalen Gerichts über Art und Umfang der ihm verbliebenen Restarbeitsfähigkeit nicht gebunden wäre. Da mit Bezug auf den Begriff des ausgeglichenen Arbeitsmarktes auch keine Rechtsverletzung vorliegt, ist die Beschwerde insgesamt als unbegründet abzuweisen.</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