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955/2012 vom 13. Februar 2013</w:t>
      </w:r>
    </w:p>
    <w:p>
      <w:r>
        <w:t>Bundesgericht, 2013-02-13, DE</w:t>
      </w:r>
    </w:p>
    <w:p>
      <w:r>
        <w:rPr>
          <w:b/>
        </w:rPr>
        <w:t xml:space="preserve">Quelle: </w:t>
      </w:r>
      <w:r>
        <w:t>https://mcp.opencaselaw.ch/entscheid/bger_9C_955_2012</w:t>
      </w:r>
    </w:p>
    <w:p>
      <w:r>
        <w:t>FR: TF 9C 955/2012 du 13 février 2013</w:t>
      </w:r>
    </w:p>
    <w:p>
      <w:r>
        <w:t>IT: TF 9C 955/2012 del 13 febbraio 2013</w:t>
      </w:r>
    </w:p>
    <w:p>
      <w:pPr>
        <w:pStyle w:val="Heading2"/>
      </w:pPr>
      <w:r>
        <w:t>Regeste</w:t>
      </w:r>
    </w:p>
    <w:p>
      <w:r>
        <w:t>Invalidenversicherung | Invalidenversicherung</w:t>
      </w:r>
    </w:p>
    <w:p>
      <w:pPr>
        <w:pStyle w:val="Heading2"/>
      </w:pPr>
      <w:r>
        <w:t>Erwägungen</w:t>
      </w:r>
    </w:p>
    <w:p>
      <w:r>
        <w:rPr>
          <w:b/>
        </w:rPr>
        <w:t>E. 1</w:t>
      </w:r>
    </w:p>
    <w:p>
      <w:r>
        <w:t>Die Beschwerdeführerin rügt, die Vorinstanz habe in willkürlicher Weise Bundesrecht verletzt, indem sie den Sachverhalt nicht hinreichend abgeklärt, die Beweiswürdigung krass fehlerhaft vorgenommen und die Verfügung der Beschwerdegegnerin trotz neuer Tatsachen und Beweismittel gemäss Art. 53 Abs. 1 ATSG nicht in Revision gezogen habe. Des Weiteren macht sie einen Verstoss gegen den Untersuchungsgrundsatz und die Beweiswürdigungsregeln nach Art. 61 lit. c ATSG geltend.</w:t>
      </w:r>
    </w:p>
    <w:p>
      <w:r>
        <w:rPr>
          <w:b/>
        </w:rPr>
        <w:t>E. 2</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 Bei den vorinstanzlichen Feststellungen zum Gesundheitszustand und zur Arbeitsfähigkeit der versicherten Person handelt es sich grundsätzlich um Entscheidungen über eine Tatfrage ( BGE 132 V 393 E. 3.2 S. 397 ff.). Die konkrete Beweiswürdigung stellt ebenfalls eine Tatfrage dar. Mit Blick auf die so umschriebene Kognition ist aufgrund der Vorbringen in der Beschwerde zu prüfen, ob der angefochtene Gerichtsentscheid in der Anwendung der massgeblichen materiell- und beweisrechtlichen Grundlagen Bundesrecht verletzt, einschliesslich einer offensichtlich unrichtigen oder sonst wie unter Verletzung von Bundesrecht erfolgten Tatsachenfeststellung. Dabei ist die Beachtung des Untersuchungsgrundsatzes und der Beweiswürdigungsregeln nach Art. 61 lit. c ATSG eine Rechtsfrage ( BGE 132 V 393 E. 3.2 und E. 4 S. 397 ff.).</w:t>
      </w:r>
    </w:p>
    <w:p>
      <w:r>
        <w:rPr>
          <w:b/>
        </w:rPr>
        <w:t>E. 3.1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8C_152/2012 vom 3. August 2012 E. 5.1 und 8C_422/2011 vom 5. Juni 2012 E. 4). 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SVR 2012 UV Nr. 17 S. 63, 8C_434/2011 E. 7.1; erwähnte Urteile SVR 2010 IV Nr. 55 E. 3.2; 8C_152/2012 E. 5.1; 8C_422/2011 E. 4; Urteil 8F_9/2010 vom 10. März 2011 E. 3.1; je mit Hinweisen).</w:t>
      </w:r>
    </w:p>
    <w:p>
      <w:r>
        <w:rPr>
          <w:b/>
        </w:rPr>
        <w:t>E. 3.2</w:t>
      </w:r>
    </w:p>
    <w:p>
      <w:r>
        <w:t>Gemäss bundesgerichtlicher Rechtsprechung hat im Revisionsverfahren der Gesuchsteller die erhebliche neue Tatsache nachzuweisen ( BGE 127 V 353 E. 5b S. 358; RKUV 1994 Nr. U 190 S. 140, U 52/93 E. 3a in fine mit Hinweisen). Gelingt es ihm nicht, den Revisionsgrund mit dem Beweisgrad der überwiegenden Wahrscheinlichkeit zu belegen, ist das Revisionsgesuch abzuweisen. Die IV-Stelle und später das kantonale Gericht sind insbesondere nicht dazu verpflichtet, im Sinne von Art. 43 bzw. 61 lit. c ATSG den kompletten Sachverhalt neu festzustellen und aktiv nach neuen Tatsachen und Beweismitteln zu suchen. Der Vorwurf der Beschwerdeführerin, der Sachverhalt hätte von der Vorinstanz gründlicher untersucht werden müssen, da die vorgebrachten neuen Tatsachen durch das Gericht als zu wenig erwiesen erachtet wurden, geht daher fehl.</w:t>
      </w:r>
    </w:p>
    <w:p>
      <w:r>
        <w:rPr>
          <w:b/>
        </w:rPr>
        <w:t>E. 3.3</w:t>
      </w:r>
    </w:p>
    <w:p>
      <w:r>
        <w:t>In der Frage der prozessualen Revision ( Art. 53 Abs. 1 ATSG ) prüft das Bundesgericht die korrekte Anwendung von Bundesrecht. In Auseinandersetzung mit dieser Rechtsfrage ist es frei und in keiner Weise an die Einschätzungen der Vorinstanz gebunden.</w:t>
      </w:r>
    </w:p>
    <w:p>
      <w:r>
        <w:rPr>
          <w:b/>
        </w:rPr>
        <w:t>E. 3.3.1</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(differenzial-)diagnostischen Überlegungen erschöpft, also auf der Ebene der medizinischen Beurteilung anzusiedeln ist.</w:t>
      </w:r>
    </w:p>
    <w:p>
      <w:r>
        <w:rPr>
          <w:b/>
        </w:rPr>
        <w:t>E. 3.3.2</w:t>
      </w:r>
    </w:p>
    <w:p>
      <w:r>
        <w:t>Die Beschwerdeführerin bringt vor, die IV-Stelle habe sich im Zeitpunkt der Verfügung am 27. Januar 2009 auf ein unrichtiges Krankheitsbild abgestützt und sei daher zu einer falschen Bemessung des Invaliditätsgrades gelangt. Zudem stelle das medizinische Gutachten des Dr. med. F.________ vom 17. Mai 2010 zusammen mit der Expertise des behandelnden Psychiaters Dr. med. B.________ klar, dass in der Zeit vom 1. April 2009 bis 31. Dezember 2010 eine Arbeitsunfähigkeit von mindestens 70 % vorgelegen habe.</w:t>
      </w:r>
    </w:p>
    <w:p>
      <w:r>
        <w:rPr>
          <w:b/>
        </w:rPr>
        <w:t>E. 3.3.3</w:t>
      </w:r>
    </w:p>
    <w:p>
      <w:r>
        <w:t>Eine formell rechtskräftige Verfügung kann gemäss Art. 53 Abs. 1 ATSG nur in Revision gezogen werden, wenn sie im Zeitpunkt ihres Erlasses fehlerhaft war. Es ist daher nicht relevant, wie sich gewisse Umstände seit Verfügungserlass entwickelt haben. Es interessieren zum Schluss nur die Gegebenheiten, wie sie am 27. Januar 2009, dem Tag der rechtskräftigen Verfügung, bestanden haben.</w:t>
      </w:r>
    </w:p>
    <w:p>
      <w:r>
        <w:rPr>
          <w:b/>
        </w:rPr>
        <w:t>E. 3.3.4</w:t>
      </w:r>
    </w:p>
    <w:p>
      <w:r>
        <w:t>Die Versicherte stützt ihr Gesuch um Revision der ursprünglichen Verfügung ( Art. 53 Abs. 1 ATSG ) auf neu erstellte Arztgutachten (vgl. E. 3.2 hievor). Neue medizinische Expertisen, die im Verfahren, das zur früheren Verfügung geführt hat, keine gravierende und unvertretbare Fehldiagnose feststellen, erfüllen das Kriterium der Erheblichkeit nicht (vgl. E. 3.3.1 hievor). Aufgrund der Symptome lassen sich Krankheiten oft nicht klar voneinander abgrenzen. Es wäre nicht sinnvoll, wenn jede im Nachhinein korrigierte Diagnose eine Revision begründen könnte, zumal der erhobene Krankheitsbefund nicht grundlegend für das Mass der Arbeits(un)fähigkeit und damit die Beurteilung des Invaliditätsgrades ist. Die geltend gemachte fehlerhafte Diagnose in den früheren ärztlichen Gutachten stellt daher keine revisionserhebliche neue Tatsache dar. Im Übrigen beruhen medizinische Gutachten meist auf ärztlichem Ermessen. Insbesondere bei der Festsetzung der Arbeitsunfähigkeit ( Art. 6 ATSG ) verfügt der Gutachter über einen beachtlichen Ermessensspielraum. Die Einschätzung der Arbeits(un)fähigkeit basiert massgeblich auf Schätzung oder Würdigung der erfragten und entdeckten Symptome. Die Tatsache, dass Dr. med. F.________ im neuesten Gutachten der Versicherten für den Zeitpunkt der ersten Verfügung eine höhere Arbeitsunfähigkeit attestiert, als in seiner ursprünglichen Expertise, ist revisionsrechtlich irrelevant. Die prozessuale Revision der Verfügung vom 27. Januar 2009 ist somit weder aufgrund einer allfälligen fehlerhaften Diagnose, noch wegen einer anderen Einschätzung der Arbeits(un)fähigkeit im Vergleich zum früheren Gutachten des Dr. med. F.________ möglich.</w:t>
      </w:r>
    </w:p>
    <w:p>
      <w:r>
        <w:rPr>
          <w:b/>
        </w:rPr>
        <w:t>E. 3.3.5</w:t>
      </w:r>
    </w:p>
    <w:p>
      <w:r>
        <w:t>Vor diesem Hintergrund ist der vorinstanzliche Entscheid rechtens. Die Beschwerdeführerin vermag es nicht, revisionsrechtlich erhebliche neue Tatsachen vorzubringen. Des Weiteren wurden keine unhaltbaren Schlüsse gezogen, erhebliche Tatsachen und Beweise übersehen oder solche willkürlich ausser Acht gelassen. Die eventualiter beantragte Rückweisung der Sache an die IV-Stelle ist unbegründet und geht mit Blick auf den Charakter des Revisionsverfahrens fehl.</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