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9C_950/2011 vom 9. Mai 2012</w:t>
      </w:r>
    </w:p>
    <w:p>
      <w:r>
        <w:t>Bundesgericht, 2012-05-09, DE</w:t>
      </w:r>
    </w:p>
    <w:p>
      <w:r>
        <w:rPr>
          <w:b/>
        </w:rPr>
        <w:t xml:space="preserve">Quelle: </w:t>
      </w:r>
      <w:r>
        <w:t>https://mcp.opencaselaw.ch/entscheid/bger_9C_950_2011</w:t>
      </w:r>
    </w:p>
    <w:p>
      <w:r>
        <w:t>FR: TF 9C_950/2011 du 9 mai 2012</w:t>
      </w:r>
    </w:p>
    <w:p>
      <w:r>
        <w:t>IT: TF 9C_950/2011 del 9 maggio 2012</w:t>
      </w:r>
    </w:p>
    <w:p>
      <w:pPr>
        <w:pStyle w:val="Heading2"/>
      </w:pPr>
      <w:r>
        <w:t>Erwägungen</w:t>
      </w:r>
    </w:p>
    <w:p>
      <w:r>
        <w:rPr>
          <w:b/>
        </w:rPr>
        <w:t>E. 1.1</w:t>
      </w:r>
    </w:p>
    <w:p>
      <w:r>
        <w:t>In BGE 137 V 210 (Urteil vom 28. Juni 2011) formulierte das Bundesgericht Anforderungen an polydisziplinäre medizinische Entscheidungsgrundlagen. Dabei kommt den Rahmenbedingungen der Auftragsvergabe eine grosse Bedeutung zu. So erfolgt die Vergabe der MEDAS-Begutachtungsaufträge fortan nach dem Zufallsprinzip ( BGE 137 V 210 E. 3.1 S. 242). Auf der Grundlage des auf den 1. März 2012 in Kraft getretenen, neu gefassten Art. 72bis IVV hat das BSV das Zuweisungssystem "SuisseMED@P" etabliert, dem alle Gutachteninstitute angeschlossen sind, die über eine entsprechende Vereinbarung mit dem Bundesamt verfügen.</w:t>
      </w:r>
    </w:p>
    <w:p>
      <w:r>
        <w:t>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 BGE 137 V 210 E. 3.4.2.7 S. 257).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 entgegen der Auffassung der Vorinstanz -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 Art. 49 ATSG ; BGE 137 V 210 E. 3.4.2.6 S. 256), die unter allen erwähnten Gesichtspunkten anfechtbar ist (vgl. unten E. 1.2.3).</w:t>
      </w:r>
    </w:p>
    <w:p>
      <w:r>
        <w:t>Mit der verfügungsmässigen Anordnung der Begutachtung (oder auch schon anlässlich der erstmaligen Mitteilung über die benannte Gutachterstelle) unterbreiten die IV-Stellen der versicherten Person im Übrigen den vorgesehenen Katalog der Expertenfragen zur Stellungnahme (vgl. BGE a.a.O. E. 3.4.2.9 S. S. 258).</w:t>
      </w:r>
    </w:p>
    <w:p>
      <w:r>
        <w:rPr>
          <w:b/>
        </w:rPr>
        <w:t>E. 1.2.1</w:t>
      </w:r>
    </w:p>
    <w:p>
      <w:r>
        <w:t>Bei der Anordnung des Gutachtens handelt es sich um eine Zwischenverfügung ( Art. 55 Abs. 1 ATSG in Verbindung mit Art. 5 Abs. 2 und Art. 46 VwVG ). Eine solche kann unter anderem dann angefochten werden, wenn sie einen nicht wieder gutzumachenden Nachteil bewirken kann ( Art. 46 Abs. 1 lit. a VwVG ; BGE 132 V 93 E. 6.1 S. 106). Für die Beurteilung des nicht wieder gutzumachenden Nachteils im Kontext des IV-rechtlichen Abklärungsverfahrens mit seinen spezifischen Gegebenheiten (dazu eingehend BGE 137 V 210 ) muss berücksichtigt werden, dass das Sachverständigengutachten im Rechtsmittelverfahren mit Blick auf die fachfremde Materie faktisch nur beschränkt überprüfbar ist: Der Rechtsanwender sieht sich mangels ausreichender Fachkenntnisse 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137 V 210 E. 2.5 S. 241 mit Hinweisen).</w:t>
      </w:r>
    </w:p>
    <w:p>
      <w:r>
        <w:rPr>
          <w:b/>
        </w:rPr>
        <w:t>E. 1.2.2</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137 V 210 E. 3.4.2.7 S. 257).</w:t>
      </w:r>
    </w:p>
    <w:p>
      <w:r>
        <w:rPr>
          <w:b/>
        </w:rPr>
        <w:t>E. 1.2.3</w:t>
      </w:r>
    </w:p>
    <w:p>
      <w:r>
        <w:t>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 ( BGE 137 V 210 E. 3.4.2.7 S. 257 mit Hinweisen). Hebt das kantonale Gericht oder das Bundesverwaltungsgericht die Verfügung auf, weist es die Sache an die IV-Stelle zurück, damit diese den Begutachtungsauftrag wiederum nach dem Zufallsprinzip, aber unter Berücksichtigung der im Gerichtsentscheid festgelegten zusätzlichen Rahmenbedingungen, an eine MEDAS vergebe (vgl. oben E. 1.1).</w:t>
      </w:r>
    </w:p>
    <w:p>
      <w:r>
        <w:rPr>
          <w:b/>
        </w:rPr>
        <w:t>E. 2.1</w:t>
      </w:r>
    </w:p>
    <w:p>
      <w:r>
        <w:t>Die Frage der Weiterziehbarkeit an das Bundesgericht nach Art. 92 f. BGG stellt sich im Allgemeinen mit Bezug auf Zwischenentscheide, die im Rahmen eines erstinstanzlichen Beschwerdeverfahrens erlassen wurden. Hier jedoch folgt die Qualifikation des vorinstanzlichen Entscheids als Zwischenentscheid der Rechtsnatur des Anfechtungsobjekts im kantonalen Prozess.</w:t>
      </w:r>
    </w:p>
    <w:p>
      <w:r>
        <w:rPr>
          <w:b/>
        </w:rPr>
        <w:t>E. 2.2.1</w:t>
      </w:r>
    </w:p>
    <w:p>
      <w:r>
        <w:t>Soweit der vor Bundesgericht angefochtene Beschwerdeentscheid die Ausstandspflicht einer sachverständigen Person (dazu BGE 137 V 210 E. 2.1.3 S. 231 mit Hinweisen, vgl. auch E. 1.3.3 S. 227) betrifft, bleibt er selbständig anfechtbar ( Art. 92 Abs. 1 BGG ; Urteil 9C_113/2012 vom 14. März 2012 E. 2 Ingress).</w:t>
      </w:r>
    </w:p>
    <w:p>
      <w:r>
        <w:rPr>
          <w:b/>
        </w:rPr>
        <w:t>E. 2.2.2</w:t>
      </w:r>
    </w:p>
    <w:p>
      <w:r>
        <w:t>Hier geht es indessen auch insoweit nicht um eine Ausstandsfrage, als die Beschwerdeführerin geltend macht, angesichts der Erfahrungen anderer Versicherter sei es für sie unzumutbar, sich beim Zentrum A.________ abklären zu lassen. Wie schon im Verwaltungs- und kantonalen Beschwerdeverfahren verband sie diese Rüge mit dem Vorbringen, das Vorgehen der IV-Stelle sei nicht mit deren Obliegenheit vereinbar, gemeinsam mit der versicherten Person eine Einigung zu finden. Ausserdem machte sie Ausführungen zu einem wirtschaftlichen Abhängigkeitsverhältnis der Gutachterstelle zur Invalidenversicherung.</w:t>
      </w:r>
    </w:p>
    <w:p>
      <w:r>
        <w:t>Diese Vorbringen sind einmal zu allgemein gehalten, als dass sie unter dem Titel formeller Ablehnungsgründe behandelt werden könnten. Ausschlaggebend ist indessen, dass die formelle Ablehnung eines Sachverständigen regelmässig nicht allein mit strukturellen Umständen begründet werden kann, wie sie in BGE 137 V 210 behandelt worden sind. Wenn sich die Beschwerdeführerin auf negative Erfahrungen mit einer bestimmten MEDAS beruft, besteht diese Rüge - mangels weiterführender Begründung - letztlich einzig in der Behauptung, in den angeblichen Fehlleistungen manifestierten sich systemimmanente Gefährdungen der Verfahrensfairness ( BGE 137 V 210 E. 2.4 S. 237 und E. 3.4.2.6 S. 256).</w:t>
      </w:r>
    </w:p>
    <w:p>
      <w:r>
        <w:rPr>
          <w:b/>
        </w:rPr>
        <w:t>E. 2.3</w:t>
      </w:r>
    </w:p>
    <w:p>
      <w:r>
        <w:t>Das Bundesgericht hat offengelassen, ob die Entscheide kantonaler Versicherungsgerichte oder des Bundesverwaltungsgerichts über Beschwerden gegen Verfügungen der IV-Stellen betreffend Gutachtenseinholung ihrerseits mit Beschwerde in öffentlich-rechtlichen Angelegenheiten ( Art. 82 und 93 Abs. 1 lit. a BGG ) an das Bundesgericht weiterziehbar sind, wenn damit, wie hier letztlich der Fall, Einwendungen beurteilt worden sind, die nicht formelle Ausstandsgründe betreffen ( BGE 137 V 210 E. 3.4.2.7 S. 257). Die Frage ist hier zu entscheiden.</w:t>
      </w:r>
    </w:p>
    <w:p>
      <w:r>
        <w:rPr>
          <w:b/>
        </w:rPr>
        <w:t>E. 3.1</w:t>
      </w:r>
    </w:p>
    <w:p>
      <w:r>
        <w:t>Beim Vorliegen eines nicht wieder gutzumachenden Nachteils wird der Regelfall der Nichtanfechtbarkeit einer Zwischenverfügung durchbrochen. Damit sollen Lücken im Individualrechtsschutz verhindert werden. Unter dem Blickwinkel der Verfahrensgrundrechte genügt es, wenn eine Instanz im funktionellen Instanzenzug die Verfahrensgarantien nach Art. 6 Ziff. 1 EMRK und Art. 29 ff. BV sowie effektiven Rechtsschutz im Einzelfall gewährleistet (vgl. BGE 122 V 47 E. 3 S. 54). Art. 6 EMRK gewährt den Zugang zu einem Gericht, aber kein Recht auf eine zweite Instanz (Mark E. Villiger, Handbuch der Europäischen Menschenrechtskonvention, 2. Aufl. 1999, S. 454 Rz. 693; Haefliger/Schürmann, Die Europäische Menschenrechtskonvention und die Schweiz, 2. Aufl. 1999, S. 162 f.). Ferner geht das Recht auf wirksame Beschwerde gemäss Art. 13 EMRK in den (unter verschiedenen Aspekten) weitergehenden Erfordernissen des Art. 6 Ziff. 1 EMRK auf ( BGE 137 I 128 E. 4.4.3 S. 133; Frowein/Peukert, EMRK-Kommentar, 3. Aufl. 2009, N. 10 zu Art. 6 EMRK ). Erfordert kein drohender unumkehrbarer Nachteil einen gerichtlichen Zwischenentscheid, so ist auch die Rechtsweggarantie des Art. 29a BV nicht tangiert. Ebenso garantiert Art. 6 Ziff. 1 EMRK den Zugang zu Rechtsmittelinstanzen nur im Rahmen einer gegebenen Zuständigkeit (vgl. Villiger, a.a.O., S. 273 Rz. 430).</w:t>
      </w:r>
    </w:p>
    <w:p>
      <w:r>
        <w:rPr>
          <w:b/>
        </w:rPr>
        <w:t>E. 3.2</w:t>
      </w:r>
    </w:p>
    <w:p>
      <w:r>
        <w:t>Hinsichtlich des verfassungs- und konventionsgemäss zu gewährleistenden Rechtsschutzes gegen Verfügungen der IV-Stellen im Abklärungsbereich ergibt sich aus dem Gesagten Folgendes: Soweit ein rechtlicher Nachteil im Raum steht (vgl. oben E. 1.2.3), unterscheidet sich der Begriff des nicht wieder gutzumachenden Nachteils nach Art. 93 Abs. 1 lit. a BGG nicht von demjenigen von Art. 46 Abs. 1 lit. a VwVG (vgl. oben E. 1.2.1). Jedoch verändert sich im Verlauf des Instanzenzugs die für das Rechtsschutzbedürfnis massgebende Intensität des möglichen Nachteils. Das kantonale Versicherungsgericht oder das Bundesverwaltungsgericht kann und soll die Einholung eines interdisziplinären Gutachtens zu einem Zeitpunkt unter allen Titeln gerichtlich überprüfen, in welchem die Beweislage noch nicht präjudiziert ist (vgl. oben E. 1.2.2). Erkennt die erste Beschwerdeinstanz im Einzelfall möglicherweise zu Unrecht, dass die gegen die Anordnung einer Begutachtung oder deren Modalitäten erhobenen materiellen Einwendungen unbegründet gewesen seien, so ist die versicherte Person zwar wie dargelegt in ihrer beweisrechtlichen Rechtsverfolgungsposition (weiterhin) beeinträchtigt, weil sie ein unter Verletzung der Parteirechte eingeholtes Gutachten naturgemäss nur bedingt in Frage stellen kann. Im Gegensatz zu Konstellationen, in denen dem Rechtssuchenden ein definitiver Rechtsverlust droht (wie beispielsweise im Fall der Ablehnung eines Kostenerlassgesuchs, sofern bei Nichtbezahlung des Kostenvorschusses auf die Beschwerde nicht eingetreten wird), wird ein nach einer einmaligen Rechtskontrolle allenfalls verbliebener Nachteil jedoch hinreichend ausgeglichen, da die betreffenden Rügen im Zuge der Anfechtung des Endentscheids vor Bundesgericht immer noch erhoben werden können ( Art. 93 Abs. 3 BGG ). Über das gesamte Verfahren in IV-Angelegenheiten gesehen entfällt also die Notwendigkeit einer Rechtskontrolle über den Zwischenentscheid der ersten Beschwerdeinstanz und damit die Rechtfertigung für dessen selbständige Anfechtbarkeit vor Bundesgericht.</w:t>
      </w:r>
    </w:p>
    <w:p>
      <w:r>
        <w:rPr>
          <w:b/>
        </w:rPr>
        <w:t>E. 3.3</w:t>
      </w:r>
    </w:p>
    <w:p>
      <w:r>
        <w:t>Neben dem Individualrechtsschutz obliegt der (zumal letztinstanzlichen) Justiz auch die Sicherstellung einer einheitlichen Rechtsanwendung und die Rechtsfortbildung. Die Umsetzung der Prinzipien gemäss BGE 137 V 210 kann im Rahmen der Behandlung von Beschwerden gegen den Endentscheid ungeschmälert kontrolliert werden. Ein doppelter Instanzenzug zur Überprüfung der Zwischenverfügung ist somit auch unter diesem Aspekt nicht erforderlich.</w:t>
      </w:r>
    </w:p>
    <w:p>
      <w:r>
        <w:rPr>
          <w:b/>
        </w:rPr>
        <w:t>E. 3.4</w:t>
      </w:r>
    </w:p>
    <w:p>
      <w:r>
        <w:t>Die im angefochtenen Entscheid behandelte Frage kann nach dem Gesagten nicht an die Hand genommen werden. Immerhin ist anzumerken, dass es fraglich erscheint, ob die vorinstanzliche Feststellung, die IV-Stelle habe die Bekanntgabe der Auftragserteilung an das Zentrum A.________ zu Recht mit einer kurzen "Verwirkungsfrist" verbunden und zulässigerweise darauf verzichtet, eine Einigung mit der Beschwerdeführerin zu suchen (vgl. oben E. 1.1 sowie den zeitlichen Ablauf gemäss Sachverhalt lit. A), mit Sinn und Geist dieser Obliegenheit der Parteien vereinbar ist.</w:t>
      </w:r>
    </w:p>
    <w:p>
      <w:r>
        <w:rPr>
          <w:b/>
        </w:rPr>
        <w:t>E. 4</w:t>
      </w:r>
    </w:p>
    <w:p>
      <w:r>
        <w:t>Zusammenfassend ist festzuhalten, dass weder der verfassungsmässige Individualrechtsschutz gegen Verfügungen der IV-Stellen noch andere Justizaufgaben eine Öffnung des Rechtsweges an das Bundesgericht rechtfertigen, soweit nicht formelle Ausstandsgründe betroffen sind. Die Frage wäre allenfalls neu zu beurteilen, wenn die Umsetzung der organisatorischen und verfahrensmässigen Vorgaben gemäss BGE 137 V 210 so verlaufen sollte, dass eine grundrechtskonforme Bereitstellung gutachtlicher Entscheidungsgrundlagen zuhanden der Invalidenversicherung nicht sichergestellt wäre.</w:t>
      </w:r>
    </w:p>
    <w:p>
      <w:r>
        <w:rPr>
          <w:b/>
        </w:rPr>
        <w:t>E. 5</w:t>
      </w:r>
    </w:p>
    <w:p>
      <w:r>
        <w:t>Die Beschwerdeführerin ficht die vorinstanzliche Verweigerung der unentgeltlichen Rechtspflege an. Die Zulässigkeit der Beschwerde an das Bundesgericht im Kostenpunkt folgt derjenigen in der Hauptsache. Der kantonale Kostenentscheid ist ein Zwischenentscheid, welcher keinen nicht wieder gutzumachenden Nachteil zu verursachen droht ( Art. 93 Abs. 1 lit. a BGG ); er kann später zusammen mit der Hauptsache angefochten werden ( Art. 93 Abs. 3 BGG ). Auf den diesbezüglichen Antrag ist somit ebenfalls nicht einzutreten ( BGE 135 III 329 E. 1.2 S. 331; 133 V 645 E. 2.1 S. 647).</w:t>
      </w:r>
    </w:p>
    <w:p>
      <w:r>
        <w:rPr>
          <w:b/>
        </w:rPr>
        <w:t>E. 6</w:t>
      </w:r>
    </w:p>
    <w:p>
      <w:r>
        <w:t>Die Gerichtskosten gehen zu Lasten der Beschwerdeführerin ( Art. 66 Abs. 1 BGG ), werden jedoch zufolge Gewährung der unentgeltlichen Rechtspflege auf die Gerichtskasse genommen. Ferner hat die Beschwerdeführerin Anspruch auf unentgeltliche Verbeiständung ( Art. 64 BGG ; BGE 125 V 201 E. 4a S. 202 und 371 E. 5b S. 372), wofür sie ebenfalls der Gerichtskasse Ersatz zu leisten haben wird,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