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9C_950/2008 vom 18. März 2009</w:t>
      </w:r>
    </w:p>
    <w:p>
      <w:r>
        <w:t>Bundesgericht, 2009-03-18, DE</w:t>
      </w:r>
    </w:p>
    <w:p>
      <w:r>
        <w:rPr>
          <w:b/>
        </w:rPr>
        <w:t xml:space="preserve">Quelle: </w:t>
      </w:r>
      <w:r>
        <w:t>https://mcp.opencaselaw.ch/entscheid/bger_9C_950_2008</w:t>
      </w:r>
    </w:p>
    <w:p>
      <w:r>
        <w:t>FR: TF 9C_950/2008 du 18 mars 2009</w:t>
      </w:r>
    </w:p>
    <w:p>
      <w:r>
        <w:t>IT: TF 9C_950/2008 del 18 marzo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Es steht fest und ist unbestritten, dass der Invaliditätsgrad des Versicherten 70 % beträgt und dieser folglich Anspruch auf eine ganze Rente der Invalidenversicherung hat. Streitig und zu prüfen ist der Zeitpunkt der Eröffnung der Wartezeit und damit der Rentenbeginn (vgl. Art. 29 Abs. 1 lit. b IVG in der bis 31. Dezember 2007 geltenden Fassung, heute Art. 28 Abs. 1 lit. b IVG ).</w:t>
      </w:r>
    </w:p>
    <w:p>
      <w:r>
        <w:rPr>
          <w:b/>
        </w:rPr>
        <w:t>E. 3.1</w:t>
      </w:r>
    </w:p>
    <w:p>
      <w:r>
        <w:t>Die Frage nach dem Zeitpunkt des Eintritts der (invalidisierenden) Arbeitsunfähigkeit ( Art. 29 Abs. 1 lit. b IVG in der bis 31. Dezember 2007 geltenden Fassung, heute Art. 28 Abs. 1 lit. b IVG ; vgl. auch Art. 23 lit. a BVG ), ist eine Tatfrage (SVR 2008 BVG Nr. 34 S. 143, 9C_127/2008 E. 2.2; Urteil 9C_689/2008 vom 25. Februar 2009 E. 3.1). Die konkrete Beweiswürdigung stellt ebenfalls eine Tatfrage dar. Als Rechtsfragen zu prüfen sind dagegen die Beachtung des Untersuchungsgrundsatzes und der Beweiswürdigungsregeln nach Art. 61 lit. c ATSG (Urteil 9C_941/2008 vom 18. Februar 2009 E. 3.2 mit Hinweisen) und auf die allgemeine Lebenserfahrung gestützte Annahmen und Schlussfolgerungen ( BGE 132 V 393 E. 3.2 S. 398 f.; Zur Publikation in BGE 135 V vorgesehenes Urteil 9C_560/2008 vom 12. Dezember 2008 E. 3.3.2).</w:t>
      </w:r>
    </w:p>
    <w:p>
      <w:r>
        <w:rPr>
          <w:b/>
        </w:rPr>
        <w:t>E. 3.2</w:t>
      </w:r>
    </w:p>
    <w:p>
      <w:r>
        <w:t>Im Rahmen der Invaliditätsbemessung ist es Aufgabe des Arztes oder der Ärztin,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w:t>
      </w:r>
    </w:p>
    <w:p>
      <w:r>
        <w:rPr>
          <w:b/>
        </w:rPr>
        <w:t>E. 3.3</w:t>
      </w:r>
    </w:p>
    <w:p>
      <w:r>
        <w:t>Wie beim Rentenanspruch gegenüber einer Einrichtung der beruflichen Vorsorge (vgl. Art. 23 BVG ), muss der Zeitpunkt des Eintritts der Arbeitsunfähigkeit auch gegenüber der Invalidenversicherung mit dem im Sozialversicherungsrecht üblichen Beweisgrad der überwiegenden Wahrscheinlichkeit grundsätzlich echtzeitlich nachgewiesen sein. Dieser Nachweis darf nicht durch nachträgliche Annahmen und spekulative Überlegungen ersetzt werden (vgl. Urteile 9C_368/2008 vom 11. September 2008 E. 2; 9C_96/2008 vom 11. Juni 2008 E. 2.2; je mit Hinweisen).</w:t>
      </w:r>
    </w:p>
    <w:p>
      <w:r>
        <w:rPr>
          <w:b/>
        </w:rPr>
        <w:t>E. 4</w:t>
      </w:r>
    </w:p>
    <w:p>
      <w:r>
        <w:t>Die Vorinstanz ist der Auffassung, es gebe keinen triftigen Grund, nicht auf die Beurteilung des Psychiaters Dr. med. R.________ vom 23. Juni 2006 abzustellen, welcher - unter Berücksichtigung seiner Erkenntnisse aus der Behandlung vom 18. Oktober 2004 - eine Arbeitsunfähigkeit von 50 % ab Juni 2004 attestierte. Die Beschwerdeführerin stellt demgegenüber die Beweiskraft der medizinischen Unterlagen in Bezug auf den Eintritt der Arbeitsunfähigkeit in Abrede.</w:t>
      </w:r>
    </w:p>
    <w:p>
      <w:r>
        <w:rPr>
          <w:b/>
        </w:rPr>
        <w:t>E. 4.1</w:t>
      </w:r>
    </w:p>
    <w:p>
      <w:r>
        <w:t>Die Vorinstanz hat festgestellt, die Fachärzte des Instituts Y.________ hätten im multidisziplinären Gutachten vom 22. Januar 2007 die Arbeitsfähigkeit des Versicherten in behinderungsangepasster Tätigkeit auf 50 % festgelegt und dabei den von Dr. med. R.________ bestimmten Zeitpunkt des Eintritts der Arbeitsunfähigkeit im Juni 2004, ohne sich damit genauer auseinanderzusetzen, kommentarlos bestätigt. Diese Feststellung ist nicht offensichtlich unrichtig und für das Bundesgericht verbindlich (E. 1). Damit steht fest, dass dem Gutachten des Instituts Y.________ in Bezug auf die streitige Frage nach dem Zeitpunkt des Eintritts der invalidisierenden Arbeitsunfähigkeit mangels Begründung (E. 3.2) nur insofern Beweiskraft beizumessen ist, als darin die psychiatrische Sicht als wegweisend erachtet wird.</w:t>
      </w:r>
    </w:p>
    <w:p>
      <w:r>
        <w:rPr>
          <w:b/>
        </w:rPr>
        <w:t>E. 4.2</w:t>
      </w:r>
    </w:p>
    <w:p>
      <w:r>
        <w:t>Weiter ist das kantonale Gericht der Auffassung, der Psychiater Dr. med. R.________ habe sich selbst rückwirkend zuverlässig über die Restarbeitsfähigkeit des Versicherten äussern können. Dem ist nicht beizupflichten. Zwar ist die Feststellung, er habe den Versicherten schon 1995 wegen Herzstechens und Schlafstörungen medikamentös behandelt und ihn vor und nach dessen letzter Arbeitstätigkeit als Patient gekannt, nicht offensichtlich unrichtig. Allerdings geht aus dem Bericht des Dr. med. R.________ vom 23. Juni 2006 hervor, dass der Versicherte anlässlich der Erstkonsultation im Jahr 1995 sich nicht auf eine kontinuierliche Betreuung einlassen mochte und mit dem Verschreiben eines Beruhigungsmittels zufrieden war. Er habe ihn am 18. Oktober 2004 auf Druck der besorgten Schwester aufgesucht. Dass bis zu diesem Zeitpunkt eine weitere psychiatrische Konsultation erfolgt wäre, ist weder aus diesem Bericht noch aus den übrigen Unterlagen ersichtlich. Ausserdem fand die Behandlung bei Dr. med. R.________ erst am 4. Mai 2006 eine Fortsetzung. Von einem engen Arzt-Patient-Verhältnis, welches allenfalls für einen kurzen Zeitraum die rückwirkende Einschätzung der Arbeitsfähigkeit erlauben würde, kann unter diesen Umständen nicht die Rede sein. Auch hat der Arzt den Eintritt der Arbeitsunfähigkeit nicht um einige Tage, sondern in Bezug auf die Konsultation vom 18. Oktober 2004 um mehr als vier Monate vorverlegt, weshalb sein Bericht hinsichtlich des streitigen Zeitpunkts den Anforderungen an den Beweiswert nicht genügt (E. 3.3). Hingegen ist nicht zu beanstanden, dass sich die von Dr. med. R.________ erstmals mit Bericht vom 23. Juni 2006 abgegebene Einschätzung der Arbeitsfähigkeit (auch) auf die im Oktober 2004 selber erhobenen Befunde bezieht, zumal sich die gesundheitliche Situation des Versicherten - abgesehen von der Behandlungsbereitschaft - bis zur Berichterstattung nicht wesentlich verändert zu haben scheint.</w:t>
      </w:r>
    </w:p>
    <w:p>
      <w:r>
        <w:rPr>
          <w:b/>
        </w:rPr>
        <w:t>E. 4.3</w:t>
      </w:r>
    </w:p>
    <w:p>
      <w:r>
        <w:t>Schliesslich ist die vorinstanzliche Feststellung, die psychischen Probleme hätten ursächlich offensichtlich etwas mit dem Stellenverlust zu tun, zumal der Versicherte zunächst die Schweiz für immer habe verlassen wollen, jedoch nur wenige Monate später wegen Knieproblemen zurückgekehrt sei, nicht offensichtlich unrichtig. Daraus lässt sich jedoch nicht schliessen, dass die psychischen Probleme auch zwingend Ursache des im Juni 2004 erfolgten Stellenverlustes oder gar einer Arbeitsunfähigkeit zu diesem Zeitpunkt gewesen wären. Die Ursächlichkeit besteht eher in umgekehrter Richtung.</w:t>
      </w:r>
    </w:p>
    <w:p>
      <w:r>
        <w:rPr>
          <w:b/>
        </w:rPr>
        <w:t>E. 4.4</w:t>
      </w:r>
    </w:p>
    <w:p>
      <w:r>
        <w:t>Nach dem Gesagten kann der Bericht des Dr. med. R.________ vom 23. Juni 2006 in Bezug auf die Arbeitsfähigkeit des Versicherten für die Zeit ab 18. Oktober 2004 herangezogen werden. Hingegen fehlen stichhaltige Beweise (vgl. Art. 8 ZGB ) für die Annahme, dass bereits vor diesem Zeitpunkt eine Arbeitsunfähigkeit eingetreten ist, zumal an der letzten Arbeitsstelle bis zur Aufgabe dieser Tätigkeit am 6. Juni 2004 keine gesundheitsbedingten Absenzen zu verzeichnen waren. Demzufolge hat der Versicherte seit Oktober 2005 Anspruch auf eine Rente der Invalidenversicherung. Die Beschwerde ist begründet.</w:t>
      </w:r>
    </w:p>
    <w:p>
      <w:r>
        <w:rPr>
          <w:b/>
        </w:rPr>
        <w:t>E. 5</w:t>
      </w:r>
    </w:p>
    <w:p>
      <w:r>
        <w:t>Dem Ausgang des Verfahrens entsprechend hat der Beschwerdegegner die Gerichtskosten zu tragen ( Art. 65 Abs. 4 lit. a sowie Art. 66 Abs. 1 BGG ). Der obsiegenden Pensionskasse kann keine Parteientschädigung zugesprochen werden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