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9C_94/2014 vom 2. April 2014</w:t>
      </w:r>
    </w:p>
    <w:p>
      <w:r>
        <w:t>Bundesgericht, 2014-04-02, FR</w:t>
      </w:r>
    </w:p>
    <w:p>
      <w:r>
        <w:rPr>
          <w:b/>
        </w:rPr>
        <w:t xml:space="preserve">Quelle: </w:t>
      </w:r>
      <w:r>
        <w:t>https://mcp.opencaselaw.ch/entscheid/bger_9C_94_2014</w:t>
      </w:r>
    </w:p>
    <w:p>
      <w:r>
        <w:t>FR: TF 9C_94/2014 du 2 avril 2014</w:t>
      </w:r>
    </w:p>
    <w:p>
      <w:r>
        <w:t>IT: TF 9C_94/2014 del 2 aprile 2014</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Le litige porte sur la limitation dans le temps de la rente entière octroyée à l'intéressé. Le recourant fait valoir que les premiers juges ont retenu à tort que son état de santé s'était amélioré. À son avis, une activité de substitution n'est toujours pas compatible avec son état de santé. Pour ce faire, les premiers juges n'ont pas correctement apprécié les preuves versées au dossier, en se fondant exclusivement sur l'avis du Service médical régional (SMR). Les premiers juges, expose-t-il, ont en outre refusé sans motif valable de procéder à une expertise judiciaire complémentaire, qui aurait permis de mettre en doute l'instruction de l'Office AI et de démontrer l'absence d'indépendance des médecins du SMR.</w:t>
      </w:r>
    </w:p>
    <w:p>
      <w:r>
        <w:rPr>
          <w:b/>
        </w:rPr>
        <w:t>E. 3.1</w:t>
      </w:r>
    </w:p>
    <w:p>
      <w:r>
        <w:t>Le jugement cantonal expose correctement les règles applicables à la solution du litige, si bien qu'il suffit d'y renvoyer.</w:t>
      </w:r>
    </w:p>
    <w:p>
      <w:r>
        <w:rPr>
          <w:b/>
        </w:rPr>
        <w:t>E. 3.2</w:t>
      </w:r>
    </w:p>
    <w:p>
      <w:r>
        <w:t>Selon la jurisprudence, l'arbitraire dans l'appréciation des preuves et l'établissement des faits ne résulte pas du seul fait qu'une autre solution serait envisageable ou même préférable. Le Tribunal fédéral n'annule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au titre de l'arbitraire, il ne suffit pas qu'elle se fonde sur une motivation insoutenable; encore faut-il qu'elle apparaisse arbitraire dans son résultat ( ATF 137 I 1 consid. 2.4 p. 5: 136 III 552 consid. 4.2 p. 560; 135 V 2 consid. 1.3 p. 4 s.; 134 I 140 consid. 5.4 p. 148, 263 consid. 3.1 p. 265 s.). S'agissant plus précisément de l'appréciation des preuves et de l'établissement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137 I 58 consid. 4.1.2 p. 62; 136 III 552 consid. 4.2 p. 560; 134 V 53 consid. 4.3 p. 62; SPÜHLER/AEMISEGGER/DOLGE/VOCK, BGG-Komm., 2ème éd., art. 97 n° 1 avec la réf.).</w:t>
      </w:r>
    </w:p>
    <w:p>
      <w:r>
        <w:rPr>
          <w:b/>
        </w:rPr>
        <w:t>E. 4.1</w:t>
      </w:r>
    </w:p>
    <w:p>
      <w:r>
        <w:t>S'agissant de l'appréciation des preuves, le recourant reprend les mêmes griefs soulevés devant la juridiction cantonale. En partie, il s'agit d'une argumentation appellatoire qui n'est en principe pas valable devant le Tribunal fédéral (art. 97 al. 1 et 105 al. 1 LTF; ATF 137 II 353 consid. 5.1 p. 356; 136 II 101 consid. 3 p. 104 s.). De toute façon, les griefs du recourant se révèlent infondés. Le Tribunal cantonal a expliqué, en se référant au rapport du SMR du 18 mars 2011, que l'état de santé du recourant s'est stabilisé après la troisième intervention d'arthrodèse du 22 juillet 2010. Ainsi, lors de l'examen médical du 12 novembre 2010 le Dr A.________ avait mentionné que cette dernière intervention " avait porté ses fruits " et que l'intéressé pouvait envisager une réadaptation (rapport du 24 janvier 2011). Lors de l'examen médical final effectué pour le compte de la CNA, le Dr C.________ avait exposé dans son rapport du 11 mars 2011 que l'état de santé de l'intéressé s'était stabilisé et qu'une activité de substitution, sédentaire avec des changements de positions et n'exigeant que de courts déplacements, était possible à plein temps. Le recourant s'oppose à cette appréciation en se référant à deux notes du Dr V.________ des 2 février 2011 et 12 septembre 2012. Ces deux rapports, au demeurant très brefs et qui émanent du médecin traitant, ne sauraient l'emporter sur les appréciations des Drs A.________ et C.________, d'autant plus que le Tribunal fédéral a déjà à plusieurs occasions rappelé que les médecins traitants sont généralement enclins, en cas de doute, à prendre parti pour leur patient en raison de la relation de confiance qui les unissent à ce dernier ( ATF 125 V 351 consid. 3b/cc p. 353).</w:t>
      </w:r>
    </w:p>
    <w:p>
      <w:r>
        <w:rPr>
          <w:b/>
        </w:rPr>
        <w:t>E. 4.2</w:t>
      </w:r>
    </w:p>
    <w:p>
      <w:r>
        <w:t>La juridiction cantonale a en outre examiné les conclusions du rapport du 9 mars 2012 de l'Établissement X.________, auprès duquel le recourant a accompli un stage d'observation afin de définir sa capacité de réadaptation. Le Tribunal cantonal a pris acte que lors de ce stage la capacité de travail résiduelle du recourant était de 50 à 60 %, même dans une activité exercée à 50 %, sans que cette réduction de rendement soit motivée par des atteintes objectives à sa santé. Faute de conclusion probante, le Tribunal cantonal a dès lors retenu que le rapport de l'Établissement X.________ ne permettait pas de remettre en discussion les constatations du SMR. L'appréciation de la juridiction cantonale n'est pas arbitraire ni contraire au droit fédéral. Compte tenu du pouvoir d'examen restreint du Tribunal fédéral, elle peut donc être confirmée.</w:t>
      </w:r>
    </w:p>
    <w:p>
      <w:r>
        <w:rPr>
          <w:b/>
        </w:rPr>
        <w:t>E. 4.3</w:t>
      </w:r>
    </w:p>
    <w:p>
      <w:r>
        <w:t>Le recourant critique en outre le refus de la juridiction cantonale de réaliser une expertise judiciaire. Cette instruction complémentaire aurait permis, à son avis, de démonter que les médecins du SMR, sur lesquels se base l'Office AI pour apprécier les demandes de prestations, ne sont pas réellement indépendants. Comme le relève le recourant même dans son mémoire, il n'existe pas, dans la procédure d'octroi ou de refus de prestations d'assurances sociales, de droit formel à une expertise menée par un médecin externe à l'assurance. L'arrêt de principe ATF 137 V 210 , auquel se réfère le recourant pour fonder sa demande de mettre en oeuvre une expertise judiciaire, ne remet pas en discussion cette jurisprudence. Seulement en cas de doutes, même faibles, quant à la fiabilité et à la pertinence des constatations médicales effectuées par le service médical interne de l'assurance, il est nécessaire d'ordonner une expertise médicale complémentaire (sur ces questions, voir l' ATF 135 V 465 consid. 4.3 p. 468 et consid. 4.6 p. 471). Or, selon les consid. 4.1 et 4.2 ci-dessus les premiers juges pouvaient, sans qu'on puisse leur reprocher une appréciation arbitraire des preuves, considérer qu'une nouvelle expertise n'était pas nécessaire. Une telle manière de procéder ne viole pas le droit d'être entendu selon l' art. 29 al. 2 Cst. ( ATF 136 I 229 consid. 5.3 p. 236; 124 V 90 consid. 4b p. 94; 122 V 157 consid. 1d p. 162). En ce qui concerne le grief de partialité des médecins du SMR, il est trop général pour être pris en considération. On relèvera enfin que le recourant ne conteste pas le calcul de la perte de gain subie du fait de son invalidité, de sorte que le Tribunal fédéral n'a pas à l'examiner (supra, consid. 1).</w:t>
      </w:r>
    </w:p>
    <w:p>
      <w:r>
        <w:rPr>
          <w:b/>
        </w:rPr>
        <w:t>E. 5</w:t>
      </w:r>
    </w:p>
    <w:p>
      <w:r>
        <w:t>Le recours est mal fondé. Les frais judiciaires afférents à la présente procédure doivent être mis à la charge du recourant, qui succombe (art. 66 al. 1, 1ère phrase, LTF). Il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