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94/2012 vom 4. Juli 2012</w:t>
      </w:r>
    </w:p>
    <w:p>
      <w:r>
        <w:t>Bundesgericht, 2012-07-04, FR</w:t>
      </w:r>
    </w:p>
    <w:p>
      <w:r>
        <w:rPr>
          <w:b/>
        </w:rPr>
        <w:t xml:space="preserve">Quelle: </w:t>
      </w:r>
      <w:r>
        <w:t>https://mcp.opencaselaw.ch/entscheid/bger_9C_94_2012</w:t>
      </w:r>
    </w:p>
    <w:p>
      <w:r>
        <w:t>FR: TF 9C 94/2012 du 4 juillet 2012</w:t>
      </w:r>
    </w:p>
    <w:p>
      <w:r>
        <w:t>IT: TF 9C 94/2012 del 4 luglio 2012</w:t>
      </w:r>
    </w:p>
    <w:p>
      <w:pPr>
        <w:pStyle w:val="Heading2"/>
      </w:pPr>
      <w:r>
        <w:t>Regeste</w:t>
      </w:r>
    </w:p>
    <w:p>
      <w:r>
        <w:t>Prévoyance professionnelle | Prévoyance professionnelle</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Toutefois, compte tenu de l'exigence de motivation prévue à l' art. 42 al. 2 LTF , il n'examine en principe que les griefs invoqués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w:t>
      </w:r>
    </w:p>
    <w:p>
      <w:r>
        <w:rPr>
          <w:b/>
        </w:rPr>
        <w:t>E. 2</w:t>
      </w:r>
    </w:p>
    <w:p>
      <w:r>
        <w:t>Le litige porte sur le droit de la recourante à une rente d'invalidité de la prévoyance professionnelle, à charge de l'institution de prévoyance intimée, à compter du 1er novembre 1992.</w:t>
      </w:r>
    </w:p>
    <w:p>
      <w:r>
        <w:rPr>
          <w:b/>
        </w:rPr>
        <w:t>E. 3.1</w:t>
      </w:r>
    </w:p>
    <w:p>
      <w:r>
        <w:t>La juridiction cantonale a considéré que la recourante aurait pu prétendre à l'octroi d'une rente d'invalidité de la prévoyance professionnelle depuis le mois de novembre 1992. L'intimée était cependant fondée à refuser de lui servir cette prestation dont la prescription était acquise en octobre 2003 au plus tard. La recourante n'avait pas rendu vraisemblables ses allégations selon lesquelles un collaborateur de l'intimée lui aurait affirmé à la fin de l'année 1992 qu'elle n'avait pas droit à une rente; il n'y avait dès lors pas lieu de considérer que cette institution avait commis un abus de droit en invoquant la prescription. En outre, la recourante ne pouvait pas valablement tirer argument du fait que l'intimée ne l'avait pas informée de son droit à des prestations. Le Tribunal cantonal, dans son jugement du 19 février 2001, avait en effet considéré que si une institution était tenue de lui fournir une rente d'invalidité de la prévoyance professionnelle, il s'agissait de l'intimée; ainsi, la recourante avait disposé du renseignement omis par l'intimée avant que ses prétentions à l'encontre de cette dernière ne fussent prescrites.</w:t>
      </w:r>
    </w:p>
    <w:p>
      <w:r>
        <w:rPr>
          <w:b/>
        </w:rPr>
        <w:t>E. 3.2</w:t>
      </w:r>
    </w:p>
    <w:p>
      <w:r>
        <w:t>La recourante affirme que l'intimée, la sachant au bénéfice d'une rente de l'assurance-invalidité, ne pouvait pas ignorer qu'elle avait droit à des prestations d'invalidité de la prévoyance professionnelle; dans ces conditions, l'intéressée aurait dû instruire sa cause d'office. L'intimée aurait commis un abus de droit en soulevant l'exception de la prescription car le laps de temps qui s'était écoulé avant qu'elle n'élève des prétentions à l'égard de cette institution s'expliquerait par le comportement adopté par celle-ci en 1992. Un collaborateur de l'intéressée, avec lequel elle aurait eu un entretien à la fin de cette année, lui aurait en effet affirmé qu'elle n'avait pas droit à une rente et le formulaire au moyen duquel elle avait demandé le remboursement de sa prestation de départ aurait précisé que le versement de la somme en question mettait fin à tous ses droits envers l'intimée. Enfin, étant donné qu'elle ne disposerait d'aucune connaissance juridique, la lecture du jugement du 19 février 2001 ne lui aurait pas permis de comprendre que l'intimée pouvait être tenue de lui fournir une rente.</w:t>
      </w:r>
    </w:p>
    <w:p>
      <w:r>
        <w:rPr>
          <w:b/>
        </w:rPr>
        <w:t>E. 4.1</w:t>
      </w:r>
    </w:p>
    <w:p>
      <w:r>
        <w:t>Lorsque la recourante a introduit la demande du 23 octobre 2009, son droit de percevoir une rente de la part de l'intimée était, ainsi que l'ont relevé les premiers juges, prescrit depuis longtemps compte tenu du délai absolu de dix ans applicable (cf. ATF 132 V 159 consid. 3 p. 162, cité dans le jugement entrepris [consid. 2b p. 8]); il l'était déjà le 1er janvier 2005 - date de l'entrée en vigueur de la modification de l'art. 96 de la loi cantonale du 18 juin 1984 sur la Caisse de pensions de l'Etat de Vaud (RSV 172.43) instituant l'imprescriptibilité du droit aux prestations pour les assurés affiliés à la caisse au moment de la survenance du cas d'assurance -, si bien qu'au vu des principes jurisprudentiels topiques en matière de droit transitoire ( ATF 132 V 159 consid. 2 p. 161 cité dans le jugement entrepris [consid. 2b p. 8]; cf. également arrêt 9C_321/2007 du 28 septembre 2007 consid. 2.1), la recourante ne saurait se prévaloir de cette disposition. L'invocation de la prescription par l'intimée n'est pas constitutive d'un abus de droit. Les premiers juges ont en effet retenu que celle-ci n'avait pas fourni, par le biais d'un de ses employés, un renseignement erroné à la recourante et cette dernière ne cherche pas à démontrer en quoi cette constatation serait manifestement inexacte. En outre, l'intimée a expressément indiqué à la recourante, dans son courrier du 17 septembre 1992, que la couverture du risque d'invalidité subsistait pendant trente jours après la fin de l'affiliation. Dès lors, elle ne l'a nullement incitée à n'entreprendre aucune démarche juridique tendant à l'obtention d'une rente.</w:t>
      </w:r>
    </w:p>
    <w:p>
      <w:r>
        <w:rPr>
          <w:b/>
        </w:rPr>
        <w:t>E. 4.2</w:t>
      </w:r>
    </w:p>
    <w:p>
      <w:r>
        <w:t>L'intimée n'a pas violé le principe inquisitoire. S'il est vrai que celui-ci régit le domaine des assurances sociales, il ne trouve application qu'à partir du moment où une demande a été déposée. Or lorsque la recourante a agi en ce sens, ses prétentions à l'égard de l'intimée étaient déjà prescrites (cf. supra consid. 4.1) alors même que de longue date elle se savait invalide et avait, plusieurs années auparavant, été représentée par un avocat - ainsi que le démontre la procédure qu'elle a engagée (sans succès) à l'encontre de l'institution de prévoyance de son nouvel employeur. A suivre la recourante, les rentes de la prévoyance professionnelle devraient être allouées d'office. Une telle conception ne repose sur aucune base légale. Dans cette branche des assurances sociales comme dans toutes les autres (cf. art. 29 LPGA ), l'octroi de prestations est au contraire subordonné au dépôt d'une demande de prestations.</w:t>
      </w:r>
    </w:p>
    <w:p>
      <w:r>
        <w:rPr>
          <w:b/>
        </w:rPr>
        <w:t>E. 5</w:t>
      </w:r>
    </w:p>
    <w:p>
      <w:r>
        <w:t>Il s'ensuit que le recours est mal fondé. Dès lors que la recourante est dans le besoin et que ses conclusions n'étaient pas d'emblée vouées à l'échec, l'assistance judiciaire doit lui être accordée ( art. 64 al. 1 LTF ). Il y a lieu de désigner Me Jean-Michel Duc en qualité d'avocat d'office et de fixer ses honoraires, qui seront supportés provisoirement par la caisse du Tribunal fédéral ( art. 64 al. 2 LTF ). L'attention de la recourante est attirée sur le fait qu'elle devra rembourser la caisse du Tribunal fédéral si elle devient en mesure de le faire ultérieurement ( art. 64 al. 4 LTF ). La recourante est en outre dispensée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