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9C_94/2010 vom 26. Mai 2010</w:t>
      </w:r>
    </w:p>
    <w:p>
      <w:r>
        <w:t>Bundesgericht, 2010-05-26, DE</w:t>
      </w:r>
    </w:p>
    <w:p>
      <w:r>
        <w:rPr>
          <w:b/>
        </w:rPr>
        <w:t xml:space="preserve">Quelle: </w:t>
      </w:r>
      <w:r>
        <w:t>https://mcp.opencaselaw.ch/entscheid/bger_9C_94_2010</w:t>
      </w:r>
    </w:p>
    <w:p>
      <w:r>
        <w:t>FR: TF 9C_94/2010 du 26 mai 2010</w:t>
      </w:r>
    </w:p>
    <w:p>
      <w:r>
        <w:t>IT: TF 9C_94/2010 del 26 maggio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Bei den vorinstanzlichen Feststellungen zum Gesundheitszustand und zur Arbeitsfähigkeit der versicherten Person handelt es sich um Entscheidungen über eine Tatfrage ( BGE 132 V 393 E. 3.2 S. 397 ff.). Soweit die Beurteilung der Zumutbarkeit von Arbeitsleistungen auf die allgemeine Lebenserfahrung gestützt wird, geht es hingegen um eine Rechtsfrage ( BGE 132 V 393 ). Analoges gilt für die Frage, ob sich eine Arbeitsunfähigkeit revisionsrechtlich erheblich verändert hat ( Art. 17 ATSG ; Art. 87 Abs. 3 und 4 IVV ; Urteil 9C_878/2007 vom 4. Juli 2008 E. 2.2 mit Hinweis).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Nach Art. 17 Abs. 1 ATSG ist die Rente bei einer erheblichen Änderung des Invaliditätsgrades von Amtes wegen oder auf Gesuch hin für die Zukunft entsprechend zu erhöhen, herabzusetzen oder aufzuheben. Revisionsbegründend kann u.a. eine Änderung des Gesundheitszustandes oder der erwerblichen Auswirkungen sein ( BGE 133 V 545 E. 6.1 S. 546; 130 V 343 E. 3.5 S. 349 ff.). Dabei kann auch eine geringfügige Änderung des Sachverhalts Anlass zu einer Revision geben, sofern sie zu einer Über- oder Unterschreitung des rentenbestimmenden Schwellenwertes beim Invaliditätsgrad führt ( BGE 133 V 545 E. 7 S. 548). Die Frage, ob eine erhebliche, d.h. mit Bezug auf den Invaliditätsgrad rentenwirksame Änderung der tatsächlichen Verhältnisse (persönliche Verhältnissen der versicherten Person, namentlich gesundheitliche Umstände oder erwerbliche Faktoren) eingetreten ist, beurteilt sich durch Vergleich des Sachverhaltes, wie er im Zeitpunkt der ursprünglichen Rentenverfügung bestanden hat, mit demjenigen im Zeitpunkt der streitigen Revisionsverfügung ( BGE 130 V 343 E. 3.5.2 S. 351; Urteil 8C_871/2008 vom 24. März 2009 E. 2.2.1 mit weiteren Hinweisen). Geringfügige Änderungen statistischer Daten führen nicht zu einer Revision von Invalidenrenten, selbst wenn durch solche Veränderungen ein Schwellenwert über- oder unterschritten wird; denn sie widerspiegeln nicht die persönlichen Verhältnisse der versicherten Person, sondern allgemeine wirtschaftliche Entwicklungen, mit denen Gesunde wie Invalide stets rechnen müssen ( BGE 133 V 545 E. 7.1 und 7.3 S. 548 f.).</w:t>
      </w:r>
    </w:p>
    <w:p>
      <w:r>
        <w:rPr>
          <w:b/>
        </w:rPr>
        <w:t>E. 3</w:t>
      </w:r>
    </w:p>
    <w:p>
      <w:r>
        <w:t>Streitig und zu prüfen ist der Zeitpunkt, ab welchem die vorinstanzlich revisionsweise zugesprochene ganze Rente der Invalidenversicherung auszuzahlen ist.</w:t>
      </w:r>
    </w:p>
    <w:p>
      <w:r>
        <w:rPr>
          <w:b/>
        </w:rPr>
        <w:t>E. 3.1</w:t>
      </w:r>
    </w:p>
    <w:p>
      <w:r>
        <w:t>Zutreffend und verbindlich stellte das kantonale Gericht fest, gestützt auf das Gutachten der MEDAS vom 18. April 2008 sei dem Beschwerdeführer eine körperlich leichte Tätigkeit im Umfang von 50 % zuzumuten ( Art. 105 Abs. 1 BGG ). Keine Feststellungen traf die Vorinstanz hinsichtlich der Frage, ob seit der erstmaligen Rentenfestsetzung - als hier revisionsrechtlich massgeblichem Vergleichszeitpunkt ( BGE 133 V 108 E. 5.4 S. 114) - unter erwerblichen oder medizinischen Aspekten eine gemäss Art. 17 ATSG relevante Änderung eingetreten ist. Vorab ist daher das der Verfügung vom 16. Juli 2004 zu Grunde gelegte Zumutbarkeitsprofil festzustellen ( Art. 105 Abs. 2 BGG ), welches hienach mit dem aktuell gültigen zu vergleichen ist. Denn bei der Invalidität handelt es sich um einen wirtschaftlichen Begriff ( Art. 16 ATSG , Art. 28a Abs. 2 IVG ; ZAK 1980 S. 344), weshalb iv-rechtlich eine gesundheitliche Verschlechterung nur von Bedeutung ist, falls sie sich auf die Erwerbsfähigkeit oder die Betätigung im Aufgabenbereich niederschlägt ( Art. 7 Abs. 1 ATSG , Art. 28a Abs. 2 IVG ).</w:t>
      </w:r>
    </w:p>
    <w:p>
      <w:r>
        <w:rPr>
          <w:b/>
        </w:rPr>
        <w:t>E. 3.2</w:t>
      </w:r>
    </w:p>
    <w:p>
      <w:r>
        <w:t>Die Verwaltung schloss ursprünglich auf einen Invaliditätsgrad von 67 % (Verfügung vom 16. Juli 2004), wobei sie sich an die im Schlussbericht der Abklärungsstelle X.________ vom 16. März 2004 erwähnte Restarbeitsfähigkeit hielt. Danach war eine körperlich leichte wechselbelastende Tätigkeit im Umfang von 50 % zumutbar. Diese Verfügung erwuchs in Rechtskraft (vgl. BGE 125 V 412 E. 2b S. 416). Keine davon abweichende Einschätzung enthält die im Revisionsverfahren erstellte und hier unstrittige Expertise der MEDAS vom 18. April 2008 (vgl. E. 3.1 hievor), weshalb eine leistungsbeeinflussende Änderung der Arbeitsfähigkeit seit der erstmaligen Rentengewährung ungeachtet der veränderten Symptomatik nicht erwiesen ist. Die Rentenanhebung im angefochtenen Entscheid basiert denn auch allein auf geringfügig geänderten statistischen Löhnen (Validenlohn: ursprünglich Fr. 86'857.-, neu Fr. 90'892.-; Invalidenlohn: neu Fr. 25'717.-, vorher Fr. 28'600.-), wobei der tiefere Invalidenlohn massgeblich darauf zurückzuführen ist, dass die Vorinstanz einen Leidensabzug von 15 % gewährte, wogegen die Verwaltung im Rahmen der erstmaligen Rentenfestsetzung das statistische Invalideneinkommen unter diesem Titel nicht reduziert hat. Gründet ein tieferer Invalidenlohn auf einem anlässlich der Rentenrevision erstmals eingeräumten Leidensabzug und einer Anpassung der statistischen Vergleichslöhne an die Lohnentwicklung, ohne dass sich die Leistungsfähigkeit geändert hätte, ist der sich daraus ergebende höhere Invaliditätsgrad revisionsrechtlich irrelevant (vgl. BGE 133 V 545 E. 7.1 S. 548). Diesfalls sind die Voraussetzungen für eine Rentenanpassung gemäss Art. 17 ATSG nicht gegeben. Denn der Leidensabzug wird bei der erstmaligen Rentenfestsetzung anhand des Zumutbarkeitsprofils und weiterer persönlicher Merkmale wie Alter, Dauer der Betriebszugehörigkeit, Nationalität oder Aufenthaltskategorie sowie Beschäftigungsgrad ( BGE 134 V 322 E. 5.2 S. 327, 126 V 75 E. 5b/aa S. 79) bestimmt. Diese Faktoren sind mehrheitlich statischer Natur, weswegen allein der Zeitablauf deren Neubeurteilung nicht rechtfertigt. Soweit sich hingegen der leidensbedingte Abzug nach der beruflichen Leistungsfähigkeit richtet, ist dessen allfällige spätere Anpassung an eine veränderte Zumutbarkeit gebunden.</w:t>
      </w:r>
    </w:p>
    <w:p>
      <w:r>
        <w:rPr>
          <w:b/>
        </w:rPr>
        <w:t>E. 3.3</w:t>
      </w:r>
    </w:p>
    <w:p>
      <w:r>
        <w:t>Weil sich die Leistungsfähigkeit des Beschwerdeführers zwischenzeitlich nicht massgeblich verändert hat, war nach dem Gesagten im Revisionsverfahren kein Leidensabzug anzurechnen. Mit Blick auf Art. 107 Abs. 1 BGG , wonach das Bundesgericht nicht über die Begehren der Parteien hinausgehen darf und demzufolge das vorinstanzliche Urteil nicht zu deren Ungunsten abändert, besteht kein Raum für eine Reduktion der vorinstanzlich zugesprochenen ganzen Invalidenrente. Der Antrag des Beschwerdeführers, es sei bereits ab 1. Januar 2007 eine ganze Rente der Invalidenversicherung zuzusprechen, ist unbegründet und abzuweisen.</w:t>
      </w:r>
    </w:p>
    <w:p>
      <w:r>
        <w:rPr>
          <w:b/>
        </w:rPr>
        <w:t>E. 4</w:t>
      </w:r>
    </w:p>
    <w:p>
      <w:r>
        <w:t>Der Versicherte beanstandet sodann die vorinstanzlich auf Fr. 1'600.- reduzierte Parteientschädigung wegen nur teilweisem Obsiegen. Im Hauptpunkt sei die Beschwerde durchgedrungen, und allein der Umstand des Unterliegens im Nebenpunkt des Rentenbeginns erlaube keine Reduktion der Entschädigung.</w:t>
      </w:r>
    </w:p>
    <w:p>
      <w:r>
        <w:rPr>
          <w:b/>
        </w:rPr>
        <w:t>E. 4.1</w:t>
      </w:r>
    </w:p>
    <w:p>
      <w:r>
        <w:t>Gemäss Art. 61 lit. g ATSG hat im kantonalen Beschwerdeverfahren die obsiegende Beschwerde führende Person Anspruch auf Ersatz der Parteikosten. Diese werden vom Versicherungsgericht festgesetzt und ohne Rücksicht auf den Streitwert nach der Bedeutung der Streitsache und nach der Schwierigkeit des Prozesses bemessen. Ist das Quantitativ einer Leistung streitig, rechtfertigt eine "Überklagung" nach der in Rentenangelegenheiten ergangenen Rechtsprechung eine Reduktion der Parteientschädigung nur, wenn das ziffernmässig bestimmte Rechtsbegehren den Prozessaufwand beeinflusst hat ( BGE 117 V 401 E. 2c S. 407; EVGE 1967 S. 215 E. 3a).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9C_466/2007 vom 25. Januar 2008 E. 5 und 8C_471/2007 vom 1. Februar 2008 E. 3.2).</w:t>
      </w:r>
    </w:p>
    <w:p>
      <w:r>
        <w:rPr>
          <w:b/>
        </w:rPr>
        <w:t>E. 4.2</w:t>
      </w:r>
    </w:p>
    <w:p>
      <w:r>
        <w:t>Die Verwaltung hat im Verfahren vor kantonalem Gericht den Anspruch auf eine ganze Rente schliesslich anerkannt, nachdem sie zuvor das Revisionsgesuch abgewiesen hatte. Auch wenn im Beschwerdeverfahren eine revisionsweise Anhebung der Invalidenrente anerkannt wurde, musste das Gericht unabhängig der Anträge über den Beginn der abgeänderten Rente befinden. Die grundsätzliche Anerkennung eines ganzen Rentenanspruchs hat daher den Prozessaufwand des Gerichts nicht beeinflusst. Die Parteientschädigung hätte demzufolge vom kantonalen Gericht nicht allein wegen teilweisen Obsiegens reduziert werden dürfen. Andere Gründe für eine Reduktion sind nicht ersichtlich und werden vom kantonalen Gericht auch nicht genannt.</w:t>
      </w:r>
    </w:p>
    <w:p>
      <w:r>
        <w:rPr>
          <w:b/>
        </w:rPr>
        <w:t>E. 4.3</w:t>
      </w:r>
    </w:p>
    <w:p>
      <w:r>
        <w:t>Der Beschwerdeführer rügt schliesslich die nach Massgabe seines Unterliegens vorinstanzlich überbundenen Verfahrenskosten, wobei er sich auch hier auf die erwähnte, zur Parteientschädigung ergangene Rechtsprechung beruft (vgl. E. 4.1 hievor). Diese gründet darauf, dass die Parteientschädigung nach der Bedeutung des zu beurteilenden Sachverhalts und der Schwierigkeit des Prozesses zu bemessen ist und nicht gemäss dem anteilsmässigen Prozesserfolg, wenn das ziffernmässig bestimmte Rechtsbegehren den Prozessaufwand nicht beeinflusst hat ( Art. 61 lit. g ATSG ; BGE 117 V 401 E. 2c). Im Gegensatz dazu enthält das Bundesrecht für die Kostenverteilung keine mit Art. 61 lit. g ATSG zu vergleichende Regelung. Art. 69 Abs. 1bis IVG sieht für das invalidenversicherungsrechtliche Verfahren allein vor, dass die Kosten nach dem Verfahrensaufwand und unabhängig vom Streitwert im Rahmen von 200-1000 Franken festgelegt werden. Die Rechtsprechung zur Bemessung der Parteientschädigung ist daher nicht auf die Verteilung der Verfahrenskosten übertragbar, weshalb der Beschwerdeführer daraus nichts zu seinen Gunsten herleiten kann. Unter anderen Aspekten rügt der Beschwerdeführer die vorinstanzliche Kostenverteilung nicht ( Art. 42 Abs. 2 BGG ; BGE 134 II 244 E. 2.1 S. 245).</w:t>
      </w:r>
    </w:p>
    <w:p>
      <w:r>
        <w:rPr>
          <w:b/>
        </w:rPr>
        <w:t>E. 5</w:t>
      </w:r>
    </w:p>
    <w:p>
      <w:r>
        <w:t>Dem Verfahrensausgang entsprechend sind die Verfahrenskosten nach Massgabe des Obsiegens den Parteien aufzuerlegen ( Art. 66 Abs. 1 BGG ). Der Beschwerdeführer hat zulasten der Beschwerdegegnerin Anspruch auf eine reduzierte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