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9C_94/2009 vom 29. April 2009</w:t>
      </w:r>
    </w:p>
    <w:p>
      <w:r>
        <w:t>Bundesgericht, 2009-04-29, FR</w:t>
      </w:r>
    </w:p>
    <w:p>
      <w:r>
        <w:rPr>
          <w:b/>
        </w:rPr>
        <w:t xml:space="preserve">Quelle: </w:t>
      </w:r>
      <w:r>
        <w:t>https://mcp.opencaselaw.ch/entscheid/bger_9C_94_2009</w:t>
      </w:r>
    </w:p>
    <w:p>
      <w:r>
        <w:t>FR: TF 9C_94/2009 du 29 avril 2009</w:t>
      </w:r>
    </w:p>
    <w:p>
      <w:r>
        <w:t>IT: TF 9C_94/2009 del 29 aprile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a pour objet le point de savoir si l'invalidité du recourant s'est modifiée - de manière à influencer son droit à la rente - entre le 17 octobre 2001, date de la décision initiale par laquelle cette prestation lui a été accordée, et le 13 octobre 2006, date de la décision litigieuse. Le jugement entrepris expose correctement les dispositions légales et les principes jurisprudentiels applicables en matière d'évaluation de l'invalidité et de révision de la rente, de sorte qu'il suffit d'y renvoyer.</w:t>
      </w:r>
    </w:p>
    <w:p>
      <w:r>
        <w:rPr>
          <w:b/>
        </w:rPr>
        <w:t>E. 3.1</w:t>
      </w:r>
    </w:p>
    <w:p>
      <w:r>
        <w:t>Se fondant sur les conclusions du rapport d'expertise établi par le COMAI, le Tribunal administratif fédéral a considéré que l'exercice à temps complet d'une activité légère à moyenne était désormais exigible de la part de l'assuré, l'état de santé psychique de l'assuré s'étant en effet amélioré par rapport à la situation qui prévalait lors de l'octroi de la rente. Les premiers juges ont estimé qu'il n'y avait pas de raison de mettre en doute les conclusions de cette expertise, laquelle remplissait toutes les exigences posées par la jurisprudence pour qu'une pleine valeur probante puisse lui être accordée. Le point de vue du psychiatre traitant du recourant, le docteur D.________, n'était pas de nature à infirmer l'appréciation des experts, dès lors que ce médecin ne faisait pas mention d'éléments médicaux qui n'avaient pas déjà été pris en compte dans le cadre de l'expertise.</w:t>
      </w:r>
    </w:p>
    <w:p>
      <w:r>
        <w:rPr>
          <w:b/>
        </w:rPr>
        <w:t>E. 3.2</w:t>
      </w:r>
    </w:p>
    <w:p>
      <w:r>
        <w:t>Le recourant estime que les conditions d'une révision ne seraient pas remplies, dans la mesure où la situation médicale n'aurait pas évolué depuis 2001. Le Tribunal administratif fédéral aurait en effet constaté les faits de façon manifestement inexacte en se fondant exclusivement sur les conclusions - lacunaires à son avis - du rapport d'expertise établi par le COMAI, sans tenir compte des rapports médicaux établis par ses médecins traitants, les docteurs M.________, médecin de famille, et D.________.</w:t>
      </w:r>
    </w:p>
    <w:p>
      <w:r>
        <w:rPr>
          <w:b/>
        </w:rPr>
        <w:t>E. 3.3</w:t>
      </w:r>
    </w:p>
    <w:p>
      <w:r>
        <w:t>Les considérations développées par le recourant à l'appui de son recours ne sont pas de nature à faire apparaître l'état de fait retenu par le Tribunal administratif fédéral comme étant manifestement inexact ou incomplet, ou encore établi au mépris de règles essentielles de procédure. Les reproches formulés à l'égard de l'expertise du COMAI sont à cet égard sans fondement. Comme l'ont souligné les premiers juges, celle-ci remplit toutes les exigences formelles auxquelles la jurisprudence soumet la valeur probante d'un tel document. Les conclusions rendues par le collège d'experts résultent d'une analyse complète de la situation médicale - objective et subjective - portant aussi bien sur les aspects somatiques que psychiques des troubles allégués. Contrairement à ce que souhaiterait le recourant, il n'y a pas lieu de débattre plus avant de la pertinence du diagnostic retenu par le COMAI, dès lors qu'il n'appartient pas au juge de se livrer à des conjectures qui relèvent exclusivement de la science médicale. C'est également en vain qu'il allègue que les experts auraient ignoré le fait qu'il bénéficiait depuis de nombreuses années déjà d'un suivi médical intensif et, ainsi, minimisé la gravité de ses troubles psychiques. Il ressort en effet des pièces médicales qu'il a produites en première instance qu'un suivi médical spécialisé n'a débuté qu'à compter du mois de juillet 2006, soit postérieurement à la réalisation de l'expertise et peu avant que la décision litigieuse ne soit rendue. Les arguments avancés par le recourant ne permettent par ailleurs pas d'expliquer en quoi le point de vue du docteur D.________ serait objectivement mieux fondé que celui des experts du COMAI et justifierait de retenir un degré de capacité de travail différent. Il ne suffit pas de prétendre que ce médecin suit régulièrement le recourant pour établir que les conclusions de l'expertise seraient arbitraires. Au vu de la divergence consacrée par la jurisprudence entre un mandat thérapeutique et un mandat d'expertise ( ATF 124 V 170 consid. 4 p. 175; arrêt I 113/06 du 7 mars 2007 consid. 4.4 et les arrêts cités),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des experts. Or tel n'est pas le cas en l'espèce, puisque le recourant se limite à alléguer qu'il est incapable d'exercer une quelconque activité professionnelle. On ne voit par ailleurs pas en quoi les rapports relativement concis établis par le docteur D.________ contiendraient des éléments susceptibles de remettre sérieusement en cause le bien-fondé de l'expertise.</w:t>
      </w:r>
    </w:p>
    <w:p>
      <w:r>
        <w:rPr>
          <w:b/>
        </w:rPr>
        <w:t>E. 4</w:t>
      </w:r>
    </w:p>
    <w:p>
      <w:r>
        <w:t>Le recourant reproche également à l'office AI d'avoir procédé à une comparaison des revenus fondée sur le montant de salaires réalisables en Suisse, alors même qu'il réside au Portugal, pays où les salaires sont notoirement moins élevés. Ce grief est lui aussi mal fondé. Selon la jurisprudence, le fait que l'assuré soit domicilié à l'étranger est en principe sans incidence sur l'évaluation de l'invalidité. La perte de gain déterminante doit en effet être évaluée en fonction des possibilités offertes par un marché du travail équilibré, lequel est une notion théorique et abstraite. La comparaison des revenus déterminants pour évaluer le degré d'invalidité doit par ailleurs s'effectuer en fonction du même marché du travail, afin d'éviter que la disparité des niveaux de rémunération et des coûts de la vie entre deux pays n'interfère le résultat de cette comparaison ( ATF 110 V 273 consid. 4b p. 276). Il s'ensuit que l'office AI n'a pas violé le droit fédéral en se référant à des données statistiques suisses pour déterminer les revenus avec et sans invalidité.</w:t>
      </w:r>
    </w:p>
    <w:p>
      <w:r>
        <w:rPr>
          <w:b/>
        </w:rPr>
        <w:t>E. 5</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