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9C_949/2008 vom 2. Juni 2009</w:t>
      </w:r>
    </w:p>
    <w:p>
      <w:r>
        <w:t>Bundesgericht, 2009-06-02, FR</w:t>
      </w:r>
    </w:p>
    <w:p>
      <w:r>
        <w:rPr>
          <w:b/>
        </w:rPr>
        <w:t xml:space="preserve">Quelle: </w:t>
      </w:r>
      <w:r>
        <w:t>https://mcp.opencaselaw.ch/entscheid/bger_9C_949_2008</w:t>
      </w:r>
    </w:p>
    <w:p>
      <w:r>
        <w:t>FR: TF 9C_949/2008 du 2 juin 2009</w:t>
      </w:r>
    </w:p>
    <w:p>
      <w:r>
        <w:t>IT: TF 9C_949/2008 del 2 giugno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Comme en première instance, la question centrale qui reste litigieuse consiste à savoir si le recourant pourrait retrouver un emploi sur un marché équilibré du travail, eu égard à son âge proche de celui qui donne droit à la rente de vieillesse.</w:t>
      </w:r>
    </w:p>
    <w:p>
      <w:r>
        <w:t>La juridiction cantonale a exposé correctement les règles applicables à la solution du litige, si bien qu'il suffit de renvoyer au jugement attaqué.</w:t>
      </w:r>
    </w:p>
    <w:p>
      <w:r>
        <w:t>Dans ce contexte, il n'est pas nécessaire de résoudre la question de l'incertitude que le tribunal des assurances a mise en évidence à propos du moment qui est déterminant lorsqu'il faut apprécier les chances d'un assuré de retrouver un emploi, quand son âge est en cause (en l'espèce, il peut s'agir du jour où la reprise du travail est reconnue comme étant exigible [1er juin 2006], du moment où la modification de la rente prend effet [1er septembre 2006], ou du jour où la décision administrative qui s'y rapporte a été rendue [6 décembre 2007]). En effet, le recourant n'indique pas (et ne rend pas vraisemblable) que l'examen de son cas aurait été différent dans l'une ou l'autre de ces éventualités.</w:t>
      </w:r>
    </w:p>
    <w:p>
      <w:r>
        <w:rPr>
          <w:b/>
        </w:rPr>
        <w:t>E. 3</w:t>
      </w:r>
    </w:p>
    <w:p>
      <w:r>
        <w:t>Le recourant ne conteste pas qu'il a recouvré une capacité de travail entière dans une activité adaptée à son état de santé depuis le 1er juin 2006, ce qui a conduit l'intimé à supprimer la rente d'invalidité postérieurement au 31 août 2006 en vertu de l' art. 88a al. 1 RAI (voir aussi l' art. 17 LPGA et l' ATF 125 V 413 consid. 2d p. 417 s. et les références). En revanche, il soutient qu'on ne saurait exiger de sa part qu'il abandonne son activité indépendante de ferblantier-appareilleur au profit d'un emploi salarié, car il sera incapable de trouver pareille activité en raison de son âge avancé. Il se prévaut ainsi d'une appréciation arbitraire des faits.</w:t>
      </w:r>
    </w:p>
    <w:p>
      <w:r>
        <w:rPr>
          <w:b/>
        </w:rPr>
        <w:t>E. 4</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t>En l'espèce, la juridiction cantonale de recours a exercé à satisfaction de droit le rôle qui lui est dévolu, en cherchant à connaître l'exigibilité de la prise d'un emploi au regard de l'ensemble des circonstances concrètes. Dans ce cadre, le tribunal cantonal a dûment motivé les raisons qui l'ont conduit à admettre que le recourant pouvait encore mettre en valeur sa capacité de travail, nonobstant son âge.</w:t>
      </w:r>
    </w:p>
    <w:p>
      <w:r>
        <w:t>Le discours du recourant se résume en substance à contester l'appréciation du tribunal cantonal des assurances, qui aurait admis à tort qu'il pourrait reprendre un emploi salarié compte tenu de son âge. Ce faisant, le recourant n'établit nullement, au moyen d'une argumentation précise et détaillée, en quoi les premiers juges auraient violé le droit fédéral, mais il oppose en définitive sa propre appréciation du cas, ce qui ne lui est d'aucun secours. Il s'ensuit que le recours est mal 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