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948/2010 vom 19. Dezember 2011</w:t>
      </w:r>
    </w:p>
    <w:p>
      <w:r>
        <w:t>Bundesgericht, 2011-12-19, FR</w:t>
      </w:r>
    </w:p>
    <w:p>
      <w:r>
        <w:rPr>
          <w:b/>
        </w:rPr>
        <w:t xml:space="preserve">Quelle: </w:t>
      </w:r>
      <w:r>
        <w:t>https://mcp.opencaselaw.ch/entscheid/bger_9C_948_2010</w:t>
      </w:r>
    </w:p>
    <w:p>
      <w:r>
        <w:t>FR: TF 9C 948/2010 du 19 décembre 2011</w:t>
      </w:r>
    </w:p>
    <w:p>
      <w:r>
        <w:t>IT: TF 9C 948/2010 del 19 dicembre 2011</w:t>
      </w:r>
    </w:p>
    <w:p>
      <w:pPr>
        <w:pStyle w:val="Heading2"/>
      </w:pPr>
      <w:r>
        <w:t>Regeste</w:t>
      </w:r>
    </w:p>
    <w:p>
      <w:r>
        <w:t>Prestation complémentaire à l'AVS/AI | Prestations complémentaires à l'AVS/AI</w:t>
      </w:r>
    </w:p>
    <w:p>
      <w:pPr>
        <w:pStyle w:val="Heading2"/>
      </w:pPr>
      <w:r>
        <w:t>Erwägungen</w:t>
      </w:r>
    </w:p>
    <w:p>
      <w:r>
        <w:rPr>
          <w:b/>
        </w:rPr>
        <w:t>E. 1</w:t>
      </w:r>
    </w:p>
    <w:p>
      <w:r>
        <w:t>Seule doit être examinée dans le cadre de la présente procédure la question de la restitution de prestations complémentaires touchées indûment. La demande de remise fera, comme l'indiquent les premiers juges, l'objet d'une procédure distincte.</w:t>
      </w:r>
    </w:p>
    <w:p>
      <w:r>
        <w:rPr>
          <w:b/>
        </w:rPr>
        <w:t>E. 2</w:t>
      </w:r>
    </w:p>
    <w:p>
      <w:r>
        <w:t>Le recourant n'a pas qualité pour former un recours en matière de droit public contre le jugement du Tribunal cantonal des assurances sociales dans la mesure où il concernerait des prestations complémentaires de droit cantonal ( ATF 134 V 53 consid. 2.3 p. 57 ss). C'est donc à raison qu'il a limité ses conclusions aux prestations complémentaires fondées sur le droit fédéral. Contrairement aux objections formulées par l'intimée dans sa prise de position, le recours est recevable.</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4</w:t>
      </w:r>
    </w:p>
    <w:p>
      <w:r>
        <w:t>Les premiers juges ont considéré que si l'intimée avait disposé du montant de sa part successorale en décembre 2007 déjà, cette augmentation de fortune aurait diminué son droit aux prestations complémentaires et qu'elle aurait compensé cette baisse de revenus en puisant dans son patrimoine dans une mesure correspondante. Dès lors, l'instance cantonale a tenu compte d'une diminution progressive de fortune pendant la période considérée. Il s'ensuivait que les prestations complémentaires fédérales et cantonales s'élevaient à 2'867 fr. et que la somme à restituer de ce chef par l'intimée était de 30'742 fr. (33'609 - 2'867).</w:t>
      </w:r>
    </w:p>
    <w:p>
      <w:r>
        <w:rPr>
          <w:b/>
        </w:rPr>
        <w:t>E. 5</w:t>
      </w:r>
    </w:p>
    <w:p>
      <w:r>
        <w:t>Le recourant se plaint d'une violation du droit fédéral. Il soutient qu'en l'absence de dépenses justifiées et acquittées, il n'y avait pas lieu d'admettre une diminution de la fortune de l'intimée. Les déductions opérées par les premiers juges seraient fictives et ne reposeraient sur aucune base légale.</w:t>
      </w:r>
    </w:p>
    <w:p>
      <w:r>
        <w:rPr>
          <w:b/>
        </w:rPr>
        <w:t>E. 6</w:t>
      </w:r>
    </w:p>
    <w:p>
      <w:r>
        <w:t>En procédure cantonale, les conclusions de l'intimée portaient uniquement sur le mois de décembre 2007. En se prononçant sur la période comprise entre le 1er janvier 2008 et le 30 septembre 2009, les premiers juges ont dès lors étendu l'objet du litige, ce qui suppose le respect des droits procéduraux des parties découlant du droit d'être entendu (MEYER/VON ZWEHL, L'objet du litige en procédure de droit administratif fédéral, in : Mélanges Pierre Moor, Berne 2005, p. 445 n° 23). L'instance cantonale n'ayant pas satisfait à cette exigence, il convient d'admettre le recours, d'annuler le jugement attaqué et de renvoyer la cause à la juridiction cantonale pour qu'elle donne aux parties la possibilité de s'exprimer sur l'extension de l'objet du litige au-delà du 31 décembre 2007 et sur l'existence, pendant la période en question, de faits susceptibles d'affecter, à la hausse ou à la baisse, les revenus déterminants de l'intimée ( ATF 122 V 19 consid. 5c) p. 26), puis rende une nouvelle décision.</w:t>
      </w:r>
    </w:p>
    <w:p>
      <w:r>
        <w:rPr>
          <w:b/>
        </w:rPr>
        <w:t>E. 7</w:t>
      </w:r>
    </w:p>
    <w:p>
      <w:r>
        <w:t>Les frais afférents à la présente procédure seront supportés par l'intimée qui succombe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