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9C_947/2010 vom 29. November 2010</w:t>
      </w:r>
    </w:p>
    <w:p>
      <w:r>
        <w:t>Bundesgericht, 2010-11-29, DE</w:t>
      </w:r>
    </w:p>
    <w:p>
      <w:r>
        <w:rPr>
          <w:b/>
        </w:rPr>
        <w:t xml:space="preserve">Quelle: </w:t>
      </w:r>
      <w:r>
        <w:t>https://mcp.opencaselaw.ch/entscheid/bger_9C_947_2010</w:t>
      </w:r>
    </w:p>
    <w:p>
      <w:r>
        <w:t>FR: TF 9C_947/2010 du 29 novembre 2010</w:t>
      </w:r>
    </w:p>
    <w:p>
      <w:r>
        <w:t>IT: TF 9C_947/2010 del 29 novembre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9C_947/2010 {T 0/2}</w:t>
      </w:r>
    </w:p>
    <w:p>
      <w:r>
        <w:t>Urteil vom 29. November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Keel Baumann.</w:t>
      </w:r>
    </w:p>
    <w:p>
      <w:r>
        <w:t>Verfahrensbeteiligte</w:t>
      </w:r>
    </w:p>
    <w:p>
      <w:r>
        <w:t>T.________ und S.________,</w:t>
      </w:r>
    </w:p>
    <w:p>
      <w:r>
        <w:t>Beschwerdeführer,</w:t>
      </w:r>
    </w:p>
    <w:p>
      <w:r>
        <w:t>gegen</w:t>
      </w:r>
    </w:p>
    <w:p>
      <w:r>
        <w:t>IV-Stelle für Versicherte im Ausland,</w:t>
      </w:r>
    </w:p>
    <w:p>
      <w:r>
        <w:t>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Bundesverwaltungsgerichts</w:t>
      </w:r>
    </w:p>
    <w:p>
      <w:r>
        <w:t>vom 5. Oktober 2010.</w:t>
      </w:r>
    </w:p>
    <w:p>
      <w:r>
        <w:t>Nach Einsicht</w:t>
      </w:r>
    </w:p>
    <w:p>
      <w:r>
        <w:t>in die Beschwerde vom 15. November 2010 (Poststempel) gegen den Entscheid des Bundesverwaltungsgerichts vom 5. Oktober 2010,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sich die Beschwerdeführer mit den detaillierten Überentschädigungsberechnungen der Vorinstanz auch nicht ansatzweise auseinandersetzen,</w:t>
      </w:r>
    </w:p>
    <w:p>
      <w:r>
        <w:t>dass ihr nicht näher begründetes Vorbringen, die Kürzung der Kinderrenten widerspreche dem Gebot rechtsgleicher Behandlung ( Art. 8 Abs. 1 BV ), den qualifizierten Anforderungen, welche Art. 106 Abs. 2 BGG an die Geltendmachung von Grundrechtsverletzungen stellt (vgl. BGE 133 II 249 E. 1.4.2 S. 254, 396 E. 3.1 S. 399), nicht zu genügen vermag,</w:t>
      </w:r>
    </w:p>
    <w:p>
      <w:r>
        <w:t>dass ihre weitere Kritik am Verwaltungshandeln der IV-Stelle in keinem Zusammenhang mit dem Streitgegenstand steht,</w:t>
      </w:r>
    </w:p>
    <w:p>
      <w:r>
        <w:t>dass aus diesen Gründen die Eingabe vom 15. November 2010 kein gültiges Rechtsmittel darstellt,</w:t>
      </w:r>
    </w:p>
    <w:p>
      <w:r>
        <w:t>dass deshalb im vereinfachten Verfahren nach Art. 108 Abs. 1 lit. b BGG auf die Beschwerde nicht einzutreten ist und in Anwendung von Art. 66 Abs. 1 Satz 2 BGG auf die Erhebung von Gerichtskosten umständehalber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29. November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