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9C_945/2011 vom 11. Juli 2012</w:t>
      </w:r>
    </w:p>
    <w:p>
      <w:r>
        <w:t>Bundesgericht, 2012-07-11, FR</w:t>
      </w:r>
    </w:p>
    <w:p>
      <w:r>
        <w:rPr>
          <w:b/>
        </w:rPr>
        <w:t xml:space="preserve">Quelle: </w:t>
      </w:r>
      <w:r>
        <w:t>https://mcp.opencaselaw.ch/entscheid/bger_9C_945_2011</w:t>
      </w:r>
    </w:p>
    <w:p>
      <w:r>
        <w:t>FR: TF 9C_945/2011 du 11 juillet 2012</w:t>
      </w:r>
    </w:p>
    <w:p>
      <w:r>
        <w:t>IT: TF 9C_945/2011 del 11 luglio 2012</w:t>
      </w:r>
    </w:p>
    <w:p>
      <w:pPr>
        <w:pStyle w:val="Heading2"/>
      </w:pPr>
      <w:r>
        <w:t>Erwägungen</w:t>
      </w:r>
    </w:p>
    <w:p>
      <w:r>
        <w:rPr>
          <w:b/>
        </w:rPr>
        <w:t>E. 1</w:t>
      </w:r>
    </w:p>
    <w:p>
      <w:r>
        <w:t>Même si elle ne met pas fin à la procédure, une décision de renvoi par laquelle le juge invite l'administration à statuer selon des instructions impératives n'est pas une simple décision incidente, mais une décision autonome, susceptible en tant que telle d'être attaquée par la voie du recours en matière de droit public ( ATF 133 V 477 consid. 5.2 p. 483).</w:t>
      </w:r>
    </w:p>
    <w:p>
      <w:r>
        <w:rPr>
          <w:b/>
        </w:rPr>
        <w:t>E. 2</w:t>
      </w:r>
    </w:p>
    <w:p>
      <w:r>
        <w:t>Le recourant n'a pas qualité pour former un recours en matière de droit public contre le jugement du Tribunal cantonal des assurances sociales dans la mesure où il concernerait des prestations complémentaires de droit cantonal ( ATF 134 V 53 ). C'est donc à raison qu'il a limité ses conclusions aux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4.1</w:t>
      </w:r>
    </w:p>
    <w:p>
      <w:r>
        <w:t>La juridiction cantonale a considéré que l'intimée pouvait prétendre à des prestations complémentaires à compter du 1er janvier 2010, au motif qu'il n'y avait plus de raison de tenir compte d'une fortune hypothétique depuis cette date. Si c'est à juste titre que le recourant avait pris en considération les montants de 167'305 fr. 44 et 34'356 fr. 40 à titre de dessaisissement et un amortissement annuel de 10'000 fr. depuis 2004, il avait en revanche omis, entre 2002 et 2009, de porter en déduction de ces montants les dépenses justifiées telles qu'elles ressortaient des décomptes bancaires et des pièces produites par l'intimée.</w:t>
      </w:r>
    </w:p>
    <w:p>
      <w:r>
        <w:rPr>
          <w:b/>
        </w:rPr>
        <w:t>E. 4.2</w:t>
      </w:r>
    </w:p>
    <w:p>
      <w:r>
        <w:t>Le recourant reproche en substance à la juridiction cantonale d'avoir violé le droit fédéral, en ayant porté en déduction du montant de la fortune hypothétique, au titre de dépenses extraordinaires, des frais compris dans le forfait des besoins vitaux, tels que les impôts ordinaires, et en ayant procédé à cette opération même durant les années où aucune diminution de fortune n'avait été constatée (2003, 2005 à 2009).</w:t>
      </w:r>
    </w:p>
    <w:p>
      <w:r>
        <w:rPr>
          <w:b/>
        </w:rPr>
        <w:t>E. 5</w:t>
      </w:r>
    </w:p>
    <w:p>
      <w:r>
        <w:t>Selon l' art. 9 al. 1 LPC , le montant de la prestation complémentaire annuelle correspond à la part des dépenses reconnues qui excède les revenus déterminants.</w:t>
      </w:r>
    </w:p>
    <w:p>
      <w:r>
        <w:rPr>
          <w:b/>
        </w:rPr>
        <w:t>E. 5.1</w:t>
      </w:r>
    </w:p>
    <w:p>
      <w:r>
        <w:t>L' 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Selon la jurisprudence, les impôts - courants ou arriérés - ne font pas partie des dépenses reconnues énumérées à l' art. 10 LPC . Il convient néanmoins d'admettre qu'ils sont compris, indépendamment de leur importance, dans le montant forfaitaire destiné à la couverture des besoins vitaux (JÖHL, op. cit., p. 1724 n. 132). Si son existence est établie à satisfaction, un arriéré d'impôts peut, le cas échéant, être déduit de la fortune prise en considération au sens de l' art. 11 al. 1 let . c LPC (arrêt 9C_822/2009 précité consid. 3.3 et la référence).</w:t>
      </w:r>
    </w:p>
    <w:p>
      <w:r>
        <w:rPr>
          <w:b/>
        </w:rPr>
        <w:t>E. 5.2</w:t>
      </w:r>
    </w:p>
    <w:p>
      <w:r>
        <w:t>Quant aux revenus déterminants, ils sont fixés à l' art. 11 LPC . Ils comprennent notamment les ressources et parts de fortune dont un ayant droit s'est dessaisi (al. 1 let. g). Par dessaisissement, il faut entendre, en particulier, la renonciation à des éléments de revenu ou de fortune sans obligation juridique ni contre-prestation équivalente ( ATF 134 I 65 consid. 3.2 p. 70; 131 V 329 consid. 4.2. p. 332).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 art. 11 al. 1 let . c LPC; jusqu'au 31 décembre 2010: 25'000 fr., 40'000 fr. et 15'000 fr.).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 ATF 123 V 35 consid. 2a p. 37; 120 V 182 consid. 4e p. 185). Il convient toutefois de réduire de 10'000 francs par an la part de fortune dessaisie à prendre en considération, conformément à l' art. 17a OPC-AVS/AI . On présume ainsi que l'ayant droit, à supposer qu'il ne se fût pas dessaisi de sa fortune, en aurait mis une partie à contribution pour subvenir à ses besoins; l'amortissement prévu par l' art. 17a OPC-AVS/AI n'est toutefois admis que sous la forme d'un forfait indépendant du montant exact de la fortune dessaisie ou de celle dont dispose encore l'ayant droit (cf. arrêt 8C_68/2008 du 27 janvier 2009 consid. 4.2.2 et les références, in SVR 2009 EL n° 6 p. 21).</w:t>
      </w:r>
    </w:p>
    <w:p>
      <w:r>
        <w:rPr>
          <w:b/>
        </w:rPr>
        <w:t>E. 6</w:t>
      </w:r>
    </w:p>
    <w:p>
      <w:r>
        <w:t>La solution adoptée par la juridiction cantonale n'est pas conforme au droit fédéral.</w:t>
      </w:r>
    </w:p>
    <w:p>
      <w:r>
        <w:rPr>
          <w:b/>
        </w:rPr>
        <w:t>E. 6.1</w:t>
      </w:r>
    </w:p>
    <w:p>
      <w:r>
        <w:t>Il n'est pas contesté que l'intimée s'est dessaisie de la somme totale de 201'666 fr. 84 (167'305 fr. 44 en 2002 et 34'356 fr. 40 en 2004). Ce montant a été porté dans le calcul des prestations complémentaires au crédit de la fortune de l'intimée (au titre de fortune hypothétique) et a fait l'objet depuis 2004, conformément à l' art. 17a OPC -AVS-AI, d'un amortissement annuel de 10'000 fr.</w:t>
      </w:r>
    </w:p>
    <w:p>
      <w:r>
        <w:rPr>
          <w:b/>
        </w:rPr>
        <w:t>E. 6.2</w:t>
      </w:r>
    </w:p>
    <w:p>
      <w:r>
        <w:t>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Comme le souligne avec bon sens le recourant, il n'est pas possible de dépenser la contre-valeur d'un bien considéré précédemment comme dessaisi. Il suit de là que la prise en considération des sommes effectivement dépensées par l'intimée en 2003 et de 2005 à 2009 n'est pas conforme au système de la loi, celle-ci prévoyant en lieu et place la prise en compte d'un montant annuel forfaitaire de 10'000 fr. en déduction de la fortune hypothétique (cf. supra consid. 5.2).</w:t>
      </w:r>
    </w:p>
    <w:p>
      <w:r>
        <w:rPr>
          <w:b/>
        </w:rPr>
        <w:t>E. 6.3</w:t>
      </w:r>
    </w:p>
    <w:p>
      <w:r>
        <w:t>En ce qui concerne 2002 et 2004, seules années où la question d'un non-dessaisissement partiel pourrait se poser (cf. ci-dessus), la juridiction cantonale a tenu compte de manière indistincte de l'ensemble des dépenses dont l'intimée se serait acquittée au cours de ces deux années, au motif qu'il convenait de prendre en compte toutes les dépenses rendues vraisemblables dans le calcul des biens dessaisis, à l'exception des dons dépourvus d'obligation légale. On ne saurait suivre l'approche des premiers juges. S'agissant des montants avancés au titre des impôts dus, ils ne pouvaient être pris en considération, la seule présence au dossier de bordereaux de taxation ne signifiant nullement que les montants indiqués avaient été réclamés par l'administration fiscale cantonale, respectivement payés par l'intimée. Quant aux autres dépenses, il ressortait des relevés bancaires et autres documents produits à l'appui des différentes demandes déposées par l'intimée qu'elles avaient été effectuées principalement pour des voyages ou dans des magasins spécialisés dans le commerce de l'habillement, des produits de loisirs ou encore de l'ameublement. Au regard des montants en question (14'491 fr. 30 en 2002 et 7'809 fr. 65 en 2004), on peut admettre que les dépenses effectuées - dont nombre d'entre elles, sinon l'essentiel, entrent d'ailleurs dans la catégorie des besoins compris dans le montant forfaitaire prévu à l' art. 10 al. 1 let. a LPC - relevaient de ce que l'on peut considérer comme étant un usage normal de la fortune, donc non concerné par la question du dessaisissement. Toutefois, les dépenses prises en considération sont sans commune mesure avec les montants des dessaisissements retenus par la juridiction cantonale (167'305 fr. 44 en 2002 et 34'356 fr. 40 en 2004). Qui plus est, si l'on examine par exemple les mouvements opérés au cours de l'année 2002 sur le compte dont l'intimée était la titulaire auprès de la Banque cantonale de Genève, il y a lieu de constater que des prélèvements ont été effectués pour un montant total de 187'668 fr. 55. Quand bien même on porterait en déduction de ce montant la somme de 14'491 fr. 30 admise à titre de dépenses reconnues, cela ne permettrait toujours pas d'expliquer la destination du montant de 167'305 fr. 44 retenu à titre de dessaisissement. Dans les faits, l'intimée n'a, au cours de la procédure, jamais été en mesure - malgré son obligation de collaborer à l'instruction ( art. 28 al. 1 et 2 LPGA ) - d'expliquer de façon circonstanciée et convaincante les raisons des soudaines diminutions de son patrimoine (voir ATF 121 V 204 consid. 6a p. 208 et les références). Lorsque la juridiction cantonale soutient que les impôts dus, de même que le loyer et les assurances, ont, selon toute vraisemblance, été payés par les proches à qui elle avait transféré d'importantes sommes d'argent, elle formule deux hypothèses audacieuses (transfert et paiement) qui ne sont étayées par aucun élément concret (documents, récépissés ou témoignages).</w:t>
      </w:r>
    </w:p>
    <w:p>
      <w:r>
        <w:rPr>
          <w:b/>
        </w:rPr>
        <w:t>E. 6.4</w:t>
      </w:r>
    </w:p>
    <w:p>
      <w:r>
        <w:t>Sur le vu de ce qui précède, la juridiction cantonale n'avait, faute d'explications convaincantes de l'intimée sur la destination des montants retenus au titre de dessaisissement, aucune raison de s'écarter des calculs effectués par le recourant. Le recours doit par conséquent être admis et le jugement attaqué annulé en tant qu'il porte sur des prestations complémentaires fondées sur le droit fédéral.</w:t>
      </w:r>
    </w:p>
    <w:p>
      <w:r>
        <w:rPr>
          <w:b/>
        </w:rPr>
        <w:t>E. 7</w:t>
      </w:r>
    </w:p>
    <w:p>
      <w:r>
        <w:t>Compte tenu des circonstances de l'espèce, le Tribunal fédéral renonce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