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9C_945/2009 vom 28. April 2010</w:t>
      </w:r>
    </w:p>
    <w:p>
      <w:r>
        <w:t>Bundesgericht, 2010-04-28, FR</w:t>
      </w:r>
    </w:p>
    <w:p>
      <w:r>
        <w:rPr>
          <w:b/>
        </w:rPr>
        <w:t xml:space="preserve">Quelle: </w:t>
      </w:r>
      <w:r>
        <w:t>https://mcp.opencaselaw.ch/entscheid/bger_9C_945_2009</w:t>
      </w:r>
    </w:p>
    <w:p>
      <w:r>
        <w:t>FR: TF 9C_945/2009 du 28 avril 2010</w:t>
      </w:r>
    </w:p>
    <w:p>
      <w:r>
        <w:t>IT: TF 9C_945/2009 del 28 aprile 2010</w:t>
      </w:r>
    </w:p>
    <w:p>
      <w:pPr>
        <w:pStyle w:val="Heading2"/>
      </w:pPr>
      <w:r>
        <w:t>Erwägungen</w:t>
      </w:r>
    </w:p>
    <w:p>
      <w:r>
        <w:rPr>
          <w:b/>
        </w:rPr>
        <w:t>E. 1.1</w:t>
      </w:r>
    </w:p>
    <w:p>
      <w:r>
        <w:t>Invoquant le fait qu'elle n'a reçu aucune décision et qu'elle percevait une rente complémentaire pour épouse de l'assurance-invalidité, la recourante demande que lui soient versées des prestations complémentaires à partir du 1er décembre 2007.</w:t>
      </w:r>
    </w:p>
    <w:p>
      <w:r>
        <w:rPr>
          <w:b/>
        </w:rPr>
        <w:t>E. 1.2</w:t>
      </w:r>
    </w:p>
    <w:p>
      <w:r>
        <w:t>Il convient d'examiner en premier lieu si la juridiction cantonale était en droit d'entrer en matière sur le recours de l'intéressée. Au demeurant, le Tribunal fédéral examine d'office les conditions formelles de validité et de régularité de la procédure précédente (ATF 9C_194/2009 du 15 décembre 2009 consid. 2 et les arrêts cités).</w:t>
      </w:r>
    </w:p>
    <w:p>
      <w:r>
        <w:rPr>
          <w:b/>
        </w:rPr>
        <w:t>E. 2.1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 ATF 131 V 164 consid. 2.1; 125 V 413 consid. 1a p. 414; 119 Ib 33 consid. 1b p. 36 et les références citées; sur la notion d'objet de la contestation, cf. Meyer/von Zwehl, L'objet du litige en procédure de droit administratif fédéral, in Mélanges Pierre Moor, 2005, p. 437 ss).</w:t>
      </w:r>
    </w:p>
    <w:p>
      <w:r>
        <w:rPr>
          <w:b/>
        </w:rPr>
        <w:t>E. 2.2</w:t>
      </w:r>
    </w:p>
    <w:p>
      <w:r>
        <w:t>Les premiers juges ont considéré que le litige portait sur le point de savoir si les revenus et dépenses de la recourante devaient être pris en considération dans le calcul des prestations dues à son époux. Ce faisant, ils ne se sont pas prononcés sur le grief de la recourante concernant sa propre demande de prestations complémentaires et n'ont pas non plus établi les faits déterminants y relatifs.</w:t>
      </w:r>
    </w:p>
    <w:p>
      <w:r>
        <w:t>En application de l' art. 105 al. 2 LTF , il convient en l'espèce de compléter d'office les faits déterminants constatés par la juridiction cantonale. Il ressort ainsi des pièces au dossier qu'en parallèle avec son époux, la recourante a présenté une demande de prestations complémentaires par lettre datée du 28 décembre 2007. On constate également que l'intimé n'a répondu qu'à la demande de K.________ et n'a jamais donné suite ni rendu de décision à l'égard de celle de la recourante. Par conséquent, la contestation devant l'autorité judiciaire de première instance n'avait pas d'objet et un jugement sur le fond ne pouvait être prononcé. C'est donc à tort que les premiers juges sont entrés en matière sur le recours formé par l'intéressée.</w:t>
      </w:r>
    </w:p>
    <w:p>
      <w:r>
        <w:rPr>
          <w:b/>
        </w:rPr>
        <w:t>E. 3</w:t>
      </w:r>
    </w:p>
    <w:p>
      <w:r>
        <w:t>Il découle de ce qui précède que le jugement entrepris doit être modifié en ce sens que le recours interjeté le 19 janvier 2009 par la recourante aurait dû être déclaré irrecevable. Dans cette mesure, son recours doit être admis. En revanche, en tant que ses conclusions portent sur la décision rendue à l'égard de son époux, qui est entrée en force, elles sont irrecevables.</w:t>
      </w:r>
    </w:p>
    <w:p>
      <w:r>
        <w:t>Il convient par ailleurs de transmettre le dossier à l'intimé, afin qu'il examine la demande de la recourante - le cas échéant, au regard des dispositions de la LPC en vigueur jusqu'au 31 décembre 2007 - et rende une décision à ce sujet.</w:t>
      </w:r>
    </w:p>
    <w:p>
      <w:r>
        <w:rPr>
          <w:b/>
        </w:rPr>
        <w:t>E. 4</w:t>
      </w:r>
    </w:p>
    <w:p>
      <w:r>
        <w:t>La procédure est en principe onéreuse (art. 66 al. 1 en relation avec l' art. 65 al. 4 let. a LTF ). Compte tenu des circonstances, il y a toutefois lieu de renoncer à percevoir des frais de justice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