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944/2009 vom 22. März 2010</w:t>
      </w:r>
    </w:p>
    <w:p>
      <w:r>
        <w:t>Bundesgericht, 2010-03-22, FR</w:t>
      </w:r>
    </w:p>
    <w:p>
      <w:r>
        <w:rPr>
          <w:b/>
        </w:rPr>
        <w:t xml:space="preserve">Quelle: </w:t>
      </w:r>
      <w:r>
        <w:t>https://mcp.opencaselaw.ch/entscheid/bger_9C_944_2009</w:t>
      </w:r>
    </w:p>
    <w:p>
      <w:r>
        <w:t>FR: TF 9C 944/2009 du 22 mars 2010</w:t>
      </w:r>
    </w:p>
    <w:p>
      <w:r>
        <w:t>IT: TF 9C 944/2009 del 22 marzo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En tant que les conclusions principales du recourant portent sur l'octroi de mesures de réadaptation professionnelle, elles sont irrecevables, dès lors qu'elles sortent de l'objet du litige défini par la décision administrative (sur la notion d'objet de la contestation, voir ATF 125 V 413 ; cf. également Meyer/von Zwehl, L'objet du litige en procédure de droit administratif fédéral, in Mélanges Pierre Moor, 2005, p. 437 ss). La décision du 12 septembre 2007 ne portait que sur le droit à une rente d'invalidité et les conclusions du recourant en instance cantonale n'ont concerné que ce seul point, puisqu'il a requis l'octroi d'une rente "complète" d'invalidité à partir du 2 décembre 2003. Le litige a donc pour seul objet le droit éventuel du recourant à une rente d'invalidité.</w:t>
      </w:r>
    </w:p>
    <w:p>
      <w:r>
        <w:rPr>
          <w:b/>
        </w:rPr>
        <w:t>E. 3.1</w:t>
      </w:r>
    </w:p>
    <w:p>
      <w:r>
        <w:t>Se fondant principalement sur le rapport de la doctoresse G.________ du 21 avril 2005, l'autorité cantonale de recours a constaté que bien que le recourant fût totalement et définitivement incapable de travailler comme maçon, sa capacité de travail restait entière dans une activité légère de substitution, avec une diminution de rendement de 20 %. Elle a en outre retenu que l'intervention d'ostéotomie du tibia subie par le recourant ne s'était pas compliquée, et ne pouvait donc être source d'un empêchement durable dans une activité adaptée. La juridiction cantonale a également considéré que le certificat du docteur A.________ du 17 janvier 2008, produit en instance cantonale et selon lequel la capacité de travail du recourant était nulle dans le contexte actuel, n'était pas vraiment étayé. Ce médecin retenait des diagnostics dont il avait déjà fait état (hormis l'hémochromatose), et les éléments qu'il avançait pour justifier une incapacité de travail (à savoir la longue période d'inactivité, le manque de qualifications et le défaut de connaissances linguistiques du recourant) ne constituaient pas des facteurs dont il fallait tenir compte pour fixer le taux d'invalidité.</w:t>
      </w:r>
    </w:p>
    <w:p>
      <w:r>
        <w:rPr>
          <w:b/>
        </w:rPr>
        <w:t>E. 3.2</w:t>
      </w:r>
    </w:p>
    <w:p>
      <w:r>
        <w:t>Le recourant reproche aux premiers juges d'avoir retenu que l'intervention chirurgicale du 16 novembre 2006 n'avait pas affecté sa capacité de travail et de n'avoir pas tenu compte des conclusions du docteur A.________ (rapport du 10 juillet 2007) à cet égard. Par ailleurs, il leur fait grief d'avoir fondé leur appréciation sur le rapport de la doctoresse G.________ du 21 avril 2005, alors qu'il est antérieur à l'opération. Selon le recourant, sa capacité de travail s'est réduite des suites de cette intervention et la juridiction cantonale aurait dès lors dû procéder à une instruction complémentaire pour s'en assurer.</w:t>
      </w:r>
    </w:p>
    <w:p>
      <w:r>
        <w:rPr>
          <w:b/>
        </w:rPr>
        <w:t>E. 3.3</w:t>
      </w:r>
    </w:p>
    <w:p>
      <w:r>
        <w:t>En l'espèce, la juridiction cantonale a fait une appréciation des rapports médicaux au dossier qui n'apparaît pas soutenable. Si elle a fondé sa constatation relative à la capacité de travail dans une activité légère de substitution sur le rapport de la doctoresse G.________ du 21 avril 2005, elle a considéré de façon manifestement inexacte que l'évolution subséquente de l'état de santé du recourant ne remettait pas en cause les conclusions de ce médecin. A cet égard, reprenant l'appréciation de l'intimé, elle a constaté que l'intervention d'ostéotomie du tibia ne s'était pas compliquée et n'avait dès lors pu entraîner un empêchement durable. Une telle constatation - qui apparaît tirée de l'avis peu motivé du docteur I.________ du SMR du 12 septembre 2007 - est cependant contredite par les appréciations du docteur A.________ des 10 juillet 2007 et 17 janvier 2008. Près de huit mois après l'intervention chirurgicale, ce médecin a indiqué que l'évolution postopératoire était "extrêmement lente" et que son patient avait beaucoup de difficultés à se mettre en charge totale sans se protéger de cannes; les progrès étaient en outre extrêmement lents et le praticien doutait que la capacité de travail dans une activité adaptée dépassât 50 % (rapport du 10 juillet 2007). Par la suite, le docteur A.________ est revenu sur cette conclusion en expliquant que la "capacité théorique dans le contexte actuel, dégénératif ainsi que médical du fait de l'hémochromatose et des cervico-lombalgies est nulle" (rapport du 17 janvier 2008). S'il est vrai, comme l'ont retenu les premiers juges, que cette appréciation mentionnait également des facteurs limitatifs étrangers à une atteinte à la santé - longue période d'inactivité, formation professionnelle dans une activité lourde et difficultés linguistiques -, le docteur A.________ a cependant fait état d'une évolution défavorable sur le plan purement médical (douleurs internes liées à une gonarthrose secondaire qui se décompensait). On ne pouvait dès lors considérer sans arbitraire que l'appréciation du docteur A.________ - dont il y a lieu de tenir compte ( ATF 99 V 98 consid. 4 p. 102) - constituait "plutôt une réévaluation" et ne mettait pas en évidence une aggravation de l'état de santé du recourant par rapport aux constatations de la doctoresse G.________. Dans ces circonstances, c'est sur la base d'un état de faits manifestement inexact quant à l'absence de toute évolution de la situation depuis le rapport médical du 21 avril 2005 que la juridiction cantonale a retenu une capacité de travail exigible de 100 % dans une activité adaptée, avec une diminution de rendement de 20 %. Au regard des rapports du docteur A.________, qui ne pouvaient être suivis sans une appréciation plus circonstanciée de l'état de santé du recourant, un complément d'instruction sur le plan médical aurait dû être ordonné. Aussi convient-il de renvoyer la cause à l'intimé pour qu'il complète l'instruction par la mise en oeuvre d'une expertise médicale, avant de se prononcer à nouveau. Il lui appartiendra également dans ce contexte de déterminer le type d'activités encore exigibles, le cas échéant, du recourant.</w:t>
      </w:r>
    </w:p>
    <w:p>
      <w:r>
        <w:rPr>
          <w:b/>
        </w:rPr>
        <w:t>E. 4</w:t>
      </w:r>
    </w:p>
    <w:p>
      <w:r>
        <w:t>En conséquence de ce qui précède, le recours se révèle bien fondé.</w:t>
      </w:r>
    </w:p>
    <w:p>
      <w:r>
        <w:rPr>
          <w:b/>
        </w:rPr>
        <w:t>E. 5</w:t>
      </w:r>
    </w:p>
    <w:p>
      <w:r>
        <w:t>Vu l'issue du litige, les frais de justice seront supportés par l'intimé qui succombe ( art. 66 al. 1 LTF ). Celui-ci est par ailleurs tenu de verser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