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9C_940/2011 vom 21. September 2012</w:t>
      </w:r>
    </w:p>
    <w:p>
      <w:r>
        <w:t>Bundesgericht, 2012-09-21, DE</w:t>
      </w:r>
    </w:p>
    <w:p>
      <w:r>
        <w:rPr>
          <w:b/>
        </w:rPr>
        <w:t xml:space="preserve">Quelle: </w:t>
      </w:r>
      <w:r>
        <w:t>https://mcp.opencaselaw.ch/entscheid/bger_9C_940_2011</w:t>
      </w:r>
    </w:p>
    <w:p>
      <w:r>
        <w:t>FR: TF 9C_940/2011 du 21 septembre 2012</w:t>
      </w:r>
    </w:p>
    <w:p>
      <w:r>
        <w:t>IT: TF 9C_940/2011 del 21 settembre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in einem Pflegeheim durch Personen durchgeführt werden, die auf Anordnung oder im Auftrag eines Arztes oder einer Ärztin Leistungen erbringen (Art. 25 Abs. 2 lit. a Ziff. 3 KVG in der bis 31. Dezember 2010 gültig gewesenen Fassung). Der Leistungsbereich wird in Art. 7 ff. KLV näher umschrieben. Die seit 1. Januar 2011 geltende neue Fassung von Art. 25 Abs. 2 lit. a KVG hat inhaltlich keine hier interessierenden Änderungen gebracht.</w:t>
      </w:r>
    </w:p>
    <w:p>
      <w:r>
        <w:rPr>
          <w:b/>
        </w:rPr>
        <w:t>E. 2.2</w:t>
      </w:r>
    </w:p>
    <w:p>
      <w:r>
        <w:t>Bei Aufenthalt in einem Pflegeheim ( Art. 39 Abs. 3 KVG ) vergütet der Versicherer gemäss Art. 50 KVG die gleichen Leistungen wie bei ambulanter Krankenpflege nach Art. 25a KVG .</w:t>
      </w:r>
    </w:p>
    <w:p>
      <w:r>
        <w:t>Seit 1. Januar 1998 besteht keine zeitliche Einschränkung mehr für die Pflegeleistungen; die Tarife werden nach Art und Schwierigkeit der notwendigen Leistungen abgestuft (vgl. Art. 7a Krankenpflege-Leistungsverordnung [KLV] in der seit 1. Januar 2011 geltenden Fassung). Ebenfalls auf den 1. Januar 1998 wurde mit Art. 8a eine Bestimmung über das Kontroll- und Schlichtungsverfahren bei Krankenpflege zu Hause in die KLV eingefügt. Nach Absatz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Das nach alt Artikel 9 Abs. 3 KLV, bis Ende 1997 in Kraft gewesene massgebende (limitierte) Zeitbudget wurde auf den 1. Januar 1998 durch eine blosse Kontrollvorschrift ersetzt. Unverändert ist geblieben, dass über eine bestimmte Grenze hinaus (früher je nach Tarifvertrag, neu 60 Stunden pro Quartal) Leistungen nur nach einer vorgängigen Prüfung der Zweckmässigkeit und Wirtschaftlichkeit der Massnahme erbracht werden ( BGE 126 V 334 E. 1a und b S. 336).</w:t>
      </w:r>
    </w:p>
    <w:p>
      <w:r>
        <w:rPr>
          <w:b/>
        </w:rPr>
        <w:t>E. 2.3</w:t>
      </w:r>
    </w:p>
    <w:p>
      <w:r>
        <w:t>Nach der in BGE 126 V 334 ff. ausführlich dargelegten Rechtsprechung bedeutet die Anwendbarkeit des im gesamten Leistungsrecht der sozialen Krankenversicherung geltenden Grundsatzes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 BGE 126 V 334 E. 2a-c S. 337 ff.).</w:t>
      </w:r>
    </w:p>
    <w:p>
      <w:r>
        <w:rPr>
          <w:b/>
        </w:rPr>
        <w:t>E. 3</w:t>
      </w:r>
    </w:p>
    <w:p>
      <w:r>
        <w:t>Streitig und zu prüfen ist die Verpflichtung der Helsana zur weiteren Kostenvergütung der nach ärztlicher Anordnung erfolgten Spitex-Pflege ab 10. Juni 2009 und damit zusammenhängend die Frage, ob die Helsana berechtigt ist, die Leistungen auf die Höhe der Heimtaxen zu kürzen. Streitig ist somit, ob im angefochtenen Entscheid, der den Krankenversicherer verpflichtet, ab dem 10. Juni 2009 die gesamten beantragten Hauspflegekosten zu übernehmen, eine Bundesrechtsverletzung zu erblicken ist.</w:t>
      </w:r>
    </w:p>
    <w:p>
      <w:r>
        <w:rPr>
          <w:b/>
        </w:rPr>
        <w:t>E. 3.1</w:t>
      </w:r>
    </w:p>
    <w:p>
      <w:r>
        <w:t>Die Frage nach der Zweckmässigkeit und Wirksamkeit der Massnahme beurteilt sich primär nach medizinischen Gesichtspunkten, persönliche, familiäre und soziale Umstände sind jedoch auch zu berücksichtigen (Urteil des Eidgenössischen Versicherungsgerichts K 33/02 vom 2. Dezember 2003). Die Versicherte ist nach erlittenem Hirnschlag in den meisten Aktivitäten des täglichen Lebens pflege- und betreuungsbedürftig (Einschätzung der Selbstständigkeit des Dienstleistungsbezügers vom 29. Juni 2009). Das kantonale Gericht stellte fest, nach den Angaben des behandelnden Hausarztes bestünden keine medizinischen oder pflegerischen Gründe, die gegen einen Aufenthalt in einem Langzeitpflegeheim sprechen würden. Es lägen ausschliesslich familiäre Gründe für eine Hauspflege vor, da der Ehemann seine Ehegattin noch nicht weggeben möchte. Es seien bei ihr keine persönliche Entfaltung (Erwerbstätigkeit, Berufsbildung, soziales und politisches Engagement) oder die Erfüllung einer wichtigen gesellschaftlichen Funktion zu berücksichtigen. Aufgrund der gegebenen Umstände könne die Spitex-Pflege im Vergleich zur Heimpflege "gerade noch" als gleichwertig angesehen werden. Die Spitex-Pflege kostet den Krankenversicherer Fr. 8'000.- im Monat; die Heimkosten würden sich auf Fr. 3'400.- monatlich belaufen. Die 2,35-mal höheren Kosten für die Spitex-Pflege könnten noch als wirtschaftlich angesehen werden. Auch in absoluten Zahlen seien jährliche Kosten von Fr. 100'000.- für die Pflege zu Hause noch wirtschaftlich.</w:t>
      </w:r>
    </w:p>
    <w:p>
      <w:r>
        <w:rPr>
          <w:b/>
        </w:rPr>
        <w:t>E. 3.2</w:t>
      </w:r>
    </w:p>
    <w:p>
      <w:r>
        <w:t>Der Krankenversicherer bestreitet ausschliesslich die Wirtschaftlichkeit der geltend gemachten Vergütung für die Spitex-Pflege, nicht aber die Zweckmässigkeit und Wirksamkeit der Massnahme. Er macht eine Verletzung von Art. 32 Abs. 1 KVG in Verbindung mit Art. 25-31 sowie Art. 34 KVG geltend. Indem das kantonale Gericht die 2,35-mal höheren Kosten für Spitex-Pflege noch als wirtschaftlich qualifiziert, habe es die bundesrechtlichen Vorgaben zur gebotenen Vorgabe der Wirtschaftlichkeit verletzt. Dermassen hohe Spitex-Kosten könnten höchstens noch dann als wirtschaftlich gelten, wenn die Hauspflege im konkreten Fall wirksamer und zweckmässiger sei als eine Heimpflege. Dies treffe nach der Sachverhaltsfeststellung der Vorinstanz aber nicht zu.</w:t>
      </w:r>
    </w:p>
    <w:p>
      <w:r>
        <w:rPr>
          <w:b/>
        </w:rPr>
        <w:t>E. 3.3.1</w:t>
      </w:r>
    </w:p>
    <w:p>
      <w:r>
        <w:t>Die Spitex-Pflege ist bei der Versicherten nach den verbindlichen Feststellungen der Vorinstanz (E. 1 hievor) gleichermassen wirksam und zweckmässig wie die Pflege in einer stationären Einrichtung. Dies wird denn auch von der Helsana nicht bestritten.</w:t>
      </w:r>
    </w:p>
    <w:p>
      <w:r>
        <w:rPr>
          <w:b/>
        </w:rPr>
        <w:t>E. 3.3.2</w:t>
      </w:r>
    </w:p>
    <w:p>
      <w:r>
        <w:t>Bezüglich der Prüfung der Wirtschaftlichkeit hatte das Eidgenössische Versicherungsgericht beispielsweise in einem Fall bei gleichwertiger Spitex- und Heimpflege ein grobes Missverhältnis zwischen Spitex- und Heimkosten angenommen, in dem die Spitex-Kosten drei bis viermal höher waren (RKUV 2001 Nr. KV 143 S. 19). Bei einer versicherten Person mit rechtsseitigem Hemisyndrom waren die Spitex-Kosten 1,9 bis 2,3-mal höher, indessen immer noch wirtschaftlich. Dabei qualifizierte das Eidgenössische Versicherungsgericht die Heimpflege als leicht weniger wirksam und zweckmässig als die Spitex-Pflege. Die chronisch kranke Person hielt sich bereits 9 Jahre zu Hause auf und wurde von ihrem Ehemann gepflegt. Eine Heimeinweisung hätte voraussichtlich ihren Gemütszustand verschlechtert (RKUV 2001 Nr. KV 162 S. 179). Der Anspruch auf Kostenersatz für die Hauspflege ist sodann bei 48 % höheren Spitex-Kosten (RKUV 2001 Nr. KV 169 S. 261) sowie bei Mehrkosten von 35 % bejaht worden (Urteil K 161/00 vom 25. Mai 2001).</w:t>
      </w:r>
    </w:p>
    <w:p>
      <w:r>
        <w:rPr>
          <w:b/>
        </w:rPr>
        <w:t>E. 3.4</w:t>
      </w:r>
    </w:p>
    <w:p>
      <w:r>
        <w:t>Im Lichte dieser Rechtsprechung ist der angefochtene Entscheid bundesrechtskonform. Die Beschwerdegegnerin braucht aktenkundig keine Überwachung in der Nacht, sie lebt in intakten familiären Verhältnissen und wird teilweise von ihrem Ehemann gepflegt. Die vorliegend zu vergütenden Kosten für die Spitex-Pflege sind für den Krankenversicherer rund 2,35-mal höher als die Vergütung bei Heimpflege. Die Feststellung im kantonalen Entscheid, unter diesen Umständen könne die Spitex-Pflege "gerade noch" als wirtschaftlich qualifiziert werden, ist nicht zu beanstanden. Dies gilt umso weniger, als es die erklärte Absicht des Gesetz- und Verfassungsgebers ist, generell Kostenvergleiche bei staatlichen Leistungen in einen gesamten volkswirtschaftlichen Rahmen zu stellen. Es kann hier indessen offenbleiben, ob im Hinblick auf Art. 43a Abs. 5 BV , in Kraft seit 1. Januar 2008, am bisherigen krankenversicherungsrechtlichen Begriff der Wirtschaftlichkeit, der sich lediglich auf die Kosten des Krankenversicherers bezieht, festgehalten werden kann; entsprechende Überlegungen blieben im vorliegenden Fall ohne Auswirkungen auf den vorinstanzlich zu Recht bejahten Anspruch der Versicherten auf Spitex-Pflege.</w:t>
      </w:r>
    </w:p>
    <w:p>
      <w:r>
        <w:rPr>
          <w:b/>
        </w:rPr>
        <w:t>E. 4</w:t>
      </w:r>
    </w:p>
    <w:p>
      <w:r>
        <w:t>Dem Verfahrensausgang entsprechend sind die Gerichtskosten der unterliegenden Beschwerdeführerin aufzuerlegen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