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9C_939/2012 vom 5. September 2013</w:t>
      </w:r>
    </w:p>
    <w:p>
      <w:r>
        <w:t>Bundesgericht, 2013-09-05, DE</w:t>
      </w:r>
    </w:p>
    <w:p>
      <w:r>
        <w:rPr>
          <w:b/>
        </w:rPr>
        <w:t xml:space="preserve">Quelle: </w:t>
      </w:r>
      <w:r>
        <w:t>https://mcp.opencaselaw.ch/entscheid/bger_9C_939_2012</w:t>
      </w:r>
    </w:p>
    <w:p>
      <w:r>
        <w:t>FR: TF 9C_939/2012 du 5 septembre 2013</w:t>
      </w:r>
    </w:p>
    <w:p>
      <w:r>
        <w:t>IT: TF 9C_939/2012 del 5 settembre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Das kantonale Gericht hielt im Wesentlichen fest, das Gutachten der MEDAS vom 6. Mai 2010 habe volle Beweiskraft. Die Sachverständigen hätten sich mit den medizinischen Vorakten, den subjektiven Angaben des Beschwerdeführers und mit den selber erhobenen objektiven Befunden ausführlich auseinandergesetzt. In ihrer interdisziplinären Beurteilung legten sie schlüssig dar, dass die angestammte Tätigkeit des Bauarbeiters nicht mehr zumutbar sei, der Beschwerdeführer indes in einer angepassten, das heisst leichten bis zuweilen mittelschweren wechselbelastenden Tätigkeit vollständig arbeitsfähig sei. Dieses Zumutbarkeitsprofil decke sich mit den fachärztlichen Angaben der Klinik X.________ (Austrittsbericht vom 17. Februar 2009) und des Regionalen Ärztlichen Dienstes (RAD) der Invalidenversicherung. Nicht schlüssig begründet sei die abweichende Einschätzung des Internisten Dr. B.________ (Schreiben vom 3./4. März 2011), wonach der Versicherte auch in einer leichten sitzenden Tätigkeit nur zu 50 Prozent arbeitsfähig sei; diese Beurteilung stütze sich augenscheinlich direkt auf die Klagen des Beschwerdeführers. Dr. B.________ setze sich mit früheren fachärztlichen Feststellungen über Diskrepanzen zwischen geklagten Beschwerden und objektiven Befunden nicht auseinander. Zudem scheine er seiner Beurteilung auch psychosoziale Faktoren (soziale Unsicherheit, fehlende Zukunftsperspektiven) zugrundegelegt zu haben, welche für die Einschätzung der versicherten Beeinträchtigung nicht massgeblich seien (angefochtener Entscheid, E. 3.4 und 3.5).</w:t>
      </w:r>
    </w:p>
    <w:p>
      <w:r>
        <w:rPr>
          <w:b/>
        </w:rPr>
        <w:t>E. 2.2</w:t>
      </w:r>
    </w:p>
    <w:p>
      <w:r>
        <w:t>Der Beschwerdeführer zieht den Beweiswert des MEDAS-Gutachtens unter verschiedenen Aspekten in Zweifel.</w:t>
      </w:r>
    </w:p>
    <w:p>
      <w:r>
        <w:rPr>
          <w:b/>
        </w:rPr>
        <w:t>E. 2.2.1</w:t>
      </w:r>
    </w:p>
    <w:p>
      <w:r>
        <w:t>Zunächst hat das Bundesgericht in dem vom Beschwerdeführer angerufenen Urteil 8C_644/2010 vom 17. Dezember 2010 nicht bestimmt, dass Versicherte nur bei Vorliegen sachlicher Gründe ausserhalb ihrer Wohnregion begutachtet werden dürften (vgl. Ziff. 2075.1 des Kreisschreibens des BSV [KSVI] in der ab Januar 2010 gültigen Fassung); es hat nur ausgeführt, dass die vom kantonalen Gericht auferlegte Verpflichtung der IV-Stelle, bei einer Neuvergabe des Gutachtenauftrags auf die Wohnregion zu achten, keinen nicht wiedergutzumachenden Nachteil begründe (a.a.O. E. 2.3.4). Selbst wenn die Wahl des Begutachtungsinstituts zu der Zeit, als die MEDAS noch nicht zufallsgeleitet bezeichnet wurden (vgl. zur Publikation vorgesehenes Urteil 9C_207/2012 vom 3. Juli 2013 E. 2.2), ortsgebunden gewesen wäre, führte die Missachtung einer derartigen Regel allein nicht zur Unverwertbarkeit der Expertise.</w:t>
      </w:r>
    </w:p>
    <w:p>
      <w:r>
        <w:t>Sodann zieht der Beschwerdeführer die Beweiskraft von Gutachten der MEDAS generell in Zweifel, weil dessen Leiter, Dr. E.________, mit dem Vorwurf konfrontiert sei, er habe (Teil-) Gutachten ohne Wissen und Rücksprache mit den betreffenden Sachverständigen nachträglich abgeändert. Das Bundesgericht hat indes in früheren Fällen schon festgestellt, dies könne nicht dazu führen, nunmehr alle Gutachten der MEDAS A.________ pauschal als unglaubwürdig zu betrachten (Urteil 8C_957/2010 vom 1. April 2011 E. 4.8 mit Hinweis). Weiter rügt der Beschwerdeführer, die Administrativgutachter hätten keine Fremdanamnese eingeholt. Deren Notwendigkeit im Einzelfall ist in erster Linie eine Frage des medizinischen Ermessens. Es ist nicht ersichtlich, dass die gutachterlichen Schlussfolgerungen auf einer diesbezüglich unzureichenden Grundlage beruhen. Der Umstand schliesslich, dass das kantonale Gericht dem Administrativgutachten nicht aufgrund von in der vorinstanzlichen Beschwerdeschrift näher umschriebenen "Ungereimtheiten und Diskrepanzen" (betreffend der Einordnung einer "Schmerzausweitung") den Beweiswert abgesprochen hat, führt ebenfalls nicht dazu, dass die tatsächlichen Schlussfolgerungen hinsichtlich des gesundheitlichen Zustandes offensichtlich unrichtig wären (vgl. oben E. 1), dies selbst wenn berücksichtigt wird, dass das MEDAS-Gutachten vor Erlass von BGE 137 V 210 in Auftrag gegeben wurde, welchem Umstand bei der Beweiswürdigung Rechnung zu tragen ist (Urteile 9C_495/2012 vom 4. Oktober 2012 E. 2.3, 9C_942/2011 vom 6. Juli 2012 E. 5.2 sowie 9C_776/2010 vom 20. Dezember 2011 E. 3.3).</w:t>
      </w:r>
    </w:p>
    <w:p>
      <w:r>
        <w:rPr>
          <w:b/>
        </w:rPr>
        <w:t>E. 2.2.2</w:t>
      </w:r>
    </w:p>
    <w:p>
      <w:r>
        <w:t>Der Beschwerdeführer macht geltend, der im parallelen UVG-Verfahren eingeholte Bericht des SUVA-Arztes Dr. C.________ vom 27. Februar 2012 stehe in klarem Widerspruch zum Gutachten der MEDAS Dr. C.________ dokumentiere angeborene schwerste Deformierungen beider Hüftgelenke sowie schwerwiegende Veränderungen der Lendenwirbelsäule. Die MEDAS spreche dagegen nur von "mässigen degenerativen Veränderungen an der Wirbelsäule" und einer "beidseitigen Hüftgelenkdysplasie". Die Vorinstanz stütze sich bei der Beurteilung der UVG-Angelegenheit auf den Bericht der SUVA, während sie diesen im gleichentags gefällten, hier angefochtenen IV-Entscheid überhaupt nicht würdige und gestützt auf das MEDAS-Gutachten zu ganz anderen Schlüssen komme. Dies zeige, wie ergebnisorientiert das kantonale Gericht den Gesundheitszustand des Beschwerdeführers beurteilt habe. Dem ist entgegenzuhalten, dass sich der angerufene SUVA-Bericht vom 27. Februar 2012 allein der Frage nach der Unfallkausalität widmet, während das MEDAS-Gutachten die im vorliegenden Zusammenhang wesentliche Frage nach den funktionellen Folgen des Hüft- und Rückenleidens behandelt. Aus der objektiven Schwere einer organischen Veränderung kann nicht unmittelbar auf das Ausmass einer Beeinträchtigung in der Leistungsfähigkeit geschlossen werden. Auch in dieser Hinsicht ist die Bindung des Bundesgerichts an die vorinstanzliche Feststellung, der Beschwerdeführer sei in einer angepassten Tätigkeit zu 100 Prozent arbeitsfähig, nicht in Frage gestellt.</w:t>
      </w:r>
    </w:p>
    <w:p>
      <w:r>
        <w:rPr>
          <w:b/>
        </w:rPr>
        <w:t>E. 2.3</w:t>
      </w:r>
    </w:p>
    <w:p>
      <w:r>
        <w:t>Schliesslich verweist der Beschwerdeführer auf die im Frühjahr 2012 stattgefundene Hüftoperation und auf den Bericht der behandelnden Orthopäden im Spital Y.________ vom 11. Juli 2012. Danach werde es ihm auch nach der Operation kaum möglich sein, längere Zeit zu sitzen, zu stehen oder grösseren Belastungen standzuhalten, auf unebenem Gelände zu arbeiten oder Tätigkeiten mit repetitiven Belastungen von über 10 bis 15 Kilogramm auszuführen. Ausserdem reicht der Beschwerdeführer im bundesgerichtlichen Verfahren einen Bericht vom 10. Dezember 2012 ein, worin sich die Ärzte des Spitals Y.________ kritisch mit einzelnen Erwägungen des angefochtenen Entscheids auseinandersetzen. Diese Berichte dürfen nach Art. 99 Abs. 1 BGG letztinstanzlich nicht mehr berücksichtigt werden. Soweit sie sich auf die Verhältnisse nach Abschluss des Verwaltungsverfahrens (Verfügung vom 30. März 2011) beziehen, kommt hinzu, dass neue Entwicklungen im Rahmen des laufenden Verfahrens nicht mehr einbezogen werden können ( BGE 132 V 215 E. 3.1.1 S. 220). Sollte sich nach der durchgeführten sowie der laut Bericht vom 11. Juli 2012 bevorstehenden zweiten Hüftoperation eine neue Beurteilung des Gesundheitszustands aufdrängen, müsste diese allenfalls Gegenstand eines neuen Verfahrens bilden.</w:t>
      </w:r>
    </w:p>
    <w:p>
      <w:r>
        <w:t>Unter diesen Voraussetzungen entfällt (auch insoweit) die eventualiter beantragte weitere medizinische Abklärung.</w:t>
      </w:r>
    </w:p>
    <w:p>
      <w:r>
        <w:rPr>
          <w:b/>
        </w:rPr>
        <w:t>E. 3</w:t>
      </w:r>
    </w:p>
    <w:p>
      <w:r>
        <w:t>Augenfällige Anhaltspunkte für eine anderweitig rechtswidrige Bemessung des Invaliditätsgrades bestehen nicht (vgl. BGE 133 II 249 E. 1.4.1 S. 254; 110 V 48 E. 4a S. 53). Die vorinstanzliche Festlegung des Invaliditätsgrades auf 23 Prozent verletzt kein Bundesrecht. Damit besteht kein Anspruch auf eine Invalidenrente (vgl. Art. 28 Abs. 2 IVG ).</w:t>
      </w:r>
    </w:p>
    <w:p>
      <w:r>
        <w:rPr>
          <w:b/>
        </w:rPr>
        <w:t>E. 4</w:t>
      </w:r>
    </w:p>
    <w:p>
      <w:r>
        <w:t>Dem Verfahrensausgang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