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9C_939/2008 vom 4. Februar 2009</w:t>
      </w:r>
    </w:p>
    <w:p>
      <w:r>
        <w:t>Bundesgericht, 2009-02-04, DE</w:t>
      </w:r>
    </w:p>
    <w:p>
      <w:r>
        <w:rPr>
          <w:b/>
        </w:rPr>
        <w:t xml:space="preserve">Quelle: </w:t>
      </w:r>
      <w:r>
        <w:t>https://mcp.opencaselaw.ch/entscheid/bger_9C_939_2008</w:t>
      </w:r>
    </w:p>
    <w:p>
      <w:r>
        <w:t>FR: TF 9C_939/2008 du 4 février 2009</w:t>
      </w:r>
    </w:p>
    <w:p>
      <w:r>
        <w:t>IT: TF 9C_939/2008 del 4 febbraio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Streitig und zu prüfen ist der Rentenanspruch ab 1. Dezember 2003.</w:t>
      </w:r>
    </w:p>
    <w:p>
      <w:r>
        <w:rPr>
          <w:b/>
        </w:rPr>
        <w:t>E. 2.1</w:t>
      </w:r>
    </w:p>
    <w:p>
      <w:r>
        <w:t>Unter dem Blickwinkel von Art. 105 Abs. 2 BGG zu Recht nicht gerügt wird die vorinstanzliche (Tatsachen-)Feststellung, wonach die gesundheitlich beeinträchtigte Beschwerdeführerin (Diagnosen: Mittelgradige depressive Episode [ICD-10: F32.10]; histrionische Verarbeitung eines Bagatelltraumas mit sekundärem Krankheitsgewinn [ICD-10: F44.4]; Heberden-Bouchard-Arthrose; Arterielle Hypertonie) im fraglichen Zeitraum sowohl in ihrer zuletzt ausgeübten Tätigkeit als Packerin als auch in jeder andern körperlich leichten Tätigkeit zu mindestens 70 % arbeitsfähig ist.</w:t>
      </w:r>
    </w:p>
    <w:p>
      <w:r>
        <w:rPr>
          <w:b/>
        </w:rPr>
        <w:t>E. 2.2</w:t>
      </w:r>
    </w:p>
    <w:p>
      <w:r>
        <w:t>Bezüglich der konkreten Invaliditätsbemessung für die Zeit ab Dezember 2003 hat die Vorinstanz erwogen, die ab jenem Zeitpunkt bestehende Restarbeitsfähigkeit von mindestens 70 % - ob 70 %, 80 % oder 100 %, wurde ausdrücklich offengelassen - gelte auch für die angestammte Arbeit, sodass aus dem "demzufolge vorzunehmenden Prozentvergleich" jedenfalls ein rentenausschliessender Invaliditätsgrad von (maximal) 30 % resultiere.</w:t>
      </w:r>
    </w:p>
    <w:p>
      <w:r>
        <w:rPr>
          <w:b/>
        </w:rPr>
        <w:t>E. 2.3.1</w:t>
      </w:r>
    </w:p>
    <w:p>
      <w:r>
        <w:t>Die Beschwerdeführerin rügt vorab eine Verletzung der aus dem verfassungsrechtlichen Anspruch auf rechtliches Gehör ( Art. 29 Abs. 2 BV ; BGE 134 I 83 E. 4.1 S. 88, mit Hinweisen) fliessenden Begründungspflicht: Die Gehörsverletzung erblickt sie im Umstand, dass sich das kantonale Gericht in keiner Weise geäussert habe zu den in der vorinstanzlichen Beschwerde konkret erhobenen Einwänden gegen die in der Verfügung vom 17. März 2008 nach der allgemeinen Methode des Einkommensvergleichs ( Art. 16 ATSG , ab 1. Januar bis Ende 2007 in Verbindung mit Art. 28 Abs. 2 IVG ; BGE 130 V 343 E. 3.4 S. 348 f., 128 V 29 E. 1 S. 30 f.) erfolgte Invaliditätsbemessung, in deren Rahmen das trotz Gesundheitsschadens zumutbarerweise erzielbare Einkommen (Invalideneinkommen) gestützt auf einen statistischen Ausgangswert (Bundesamt für Statistik [Hrsg.]; Lohnstrukturerhebungen [LSE]) auf Fr. 34'350.- beziffert und einem ohne Gesundheitsschaden erzielbaren Einkommen (Valideneinkommen) von Fr. 47'353.- (letztes effektiv erzieltes, aufgerechnetes Einkommen) gegenübergestellt worden war. Nicht auseinandergesetzt habe sich die Vorinstanz insbesondere mit dem Vorwurf, die Verwaltung habe es rechtsfehlerhaft unterlassen, das Invalideneinkommen um einen (leidensbedingten) Abzug zu kürzen (s. dazu BGE 134 V 322 E. 5.2 S. 327 f., 129 V 472 4.2.1 S. 475 f. und E. 4.2.3 S. 481, 126 V 75 E. 3b S. 76 f., mit Hinweisen; AHI 2002 S. 67 ff., E. 4 [I 82/02]).</w:t>
      </w:r>
    </w:p>
    <w:p>
      <w:r>
        <w:rPr>
          <w:b/>
        </w:rPr>
        <w:t>E. 2.3.2</w:t>
      </w:r>
    </w:p>
    <w:p>
      <w:r>
        <w:t>Die Begründungspflicht verlangt nicht, dass sich die Behörde mit jeder tatbeständlichen Behauptung und jedem rechtlichen Einwand einlässlich auseinandersetzt ( BGE 133 III 439 E. 3.3. S. 445, mit Hinweisen). Wie es sich hier mit der behaupteten Gehörsverletzung - insbesondere hinsichtlich des vorinstanzlich beantragten leidensbedingten Abzugs von mindestens 15 % auf Seiten des Invalideneinkommens - verhält, braucht nicht abschliessend geprüft zu werden. Auch wenn der unbehandelt gebliebene Einwand als entscheidwesentlicher Gesichtspunkt zu gelten hätte, dessen völlige Ausserachtlassung durch das kantonale Gericht die Begründungspflicht verletzt ( Art. 29 Abs. 2 BV ; vgl. auch Art. 61 lit. h ATSG ), führte dies zu keiner formellrechtlich begründeten Rückweisung der Streitsache an die Vorinstanz: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w:t>
      </w:r>
    </w:p>
    <w:p>
      <w:r>
        <w:t>Die angefochtene Nichtgewährung eines leidensbedingten Abzugs als solche betrifft eine Rechtsfrage ( BGE 132 V 393 E. 3.3 S. 399), die letztinstanzlich frei überprüfbar ist ( Art. 95 lit. a BGG ); sodann fehlt es mit Bezug auf die für die ermessensweise festzusetzende Höhe eines allfälligen leidensbedingten Abzugs relevanten Tatsachen an jeglichen Feststellungen des kantonalen Gerichts und damit an einer letztinstanzlichen Sachverhaltsbindung ( Art. 105 Abs. 2 BGG ). Vor diesem Hintergrund und weil eine Rückweisung jedenfalls einem der Verfahrensökonomie zuwiderlaufenden formalistischen Leerlauf gleichkäme (siehe E. 2.4 hernach), rechtfertigt sich hier ein abschliessender Entscheid in der Sache ungeachtet des Schweregrades einer allfälligen Gehörsverletzung.</w:t>
      </w:r>
    </w:p>
    <w:p>
      <w:r>
        <w:rPr>
          <w:b/>
        </w:rPr>
        <w:t>E. 2.4</w:t>
      </w:r>
    </w:p>
    <w:p>
      <w:r>
        <w:t>Die Beschwerdeführerin bestreitet zu Recht nicht, dass selbst dann, wenn - wie von ihr beantragt - sowohl das Invaliden- als auch das Valideneinkommen aufgrund statistischer Durchschnittslöhne gemäss LSE ermittelt würden, der Invaliditätsgrad vor einem leidensbedingten Abzug in jedem Fall nur höchstens 30 % betragen würde, da bei beiden Vergleichseinkommen derselbe statistische Ausgangslohn von Frauen in Hilfstätigkeiten (gesamter privater Sektor) zu Grunde zu legen wäre und die maximale Erwerbseinbusse - auch bei Berücksichtigung der (beidseits gleichen) Lohnentwicklungen bis zum Verfügungszeitpunkt - stets dem Arbeitsunfähigkeitsgrad von (maximal) 30 % entsprechen würde. Weiter anerkennt die Beschwerdeführerin, dass ein rentenbegründender Invaliditätsgrad folgerichtig nur bei Gewährung eines leidensbedingten Abzugs von mindestens 15 % auf Seiten des Invalideneinkommens resultieren könnte. Für einen Abzug in dieser Höhe sind jedoch entgegen dem vor- wie letztinstanzlich vertretenen Standpunkt keine genügenden Gründe ersichtlich. Unzutreffend ist zum einen die Auffassung der Beschwerdeführerin, dass ein leidensbedingter Abzug bei Personen in Hilfstätigkeiten "in der Regel" bei 25 % liege; das lässt sich namentlich nicht der von der Versicherten zitierten Literatur (Ulrich Kieser, ATSG-Kommentar, Zürich/Basel/Genf 2003, S. 159; Ulrich Meyer-Blaser, Rechtsprechung des Bundesgerichts zum IVG, Zürich 1997, S. 210) entnehmen. Nach konstanter Rechtsprechung soll ein Abzug nicht automatisch - geschweige denn generell in der maximal zugelassenen Höhe von 25 % - erfolgen, sondern stets nur dann, wenn im Einzelfall Anhaltspunkte dafür bestehen, dass die versicherte Person wegen eines oder mehrerer der rechtsprechungsgemäss relevanten Merkmale (wie Alter, Dauer der Betriebszugehörigkeit, Nationalität oder Aufenthaltskategorie sowie Beschäftigungsgrad)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(zum Ganzen BGE 134 V 322 E. 5.2 S. 327 f., mit Hinweisen).</w:t>
      </w:r>
    </w:p>
    <w:p>
      <w:r>
        <w:t>Im hier in Betracht fallenden Arbeitssegment wirken sich weder der Ausländerstatus (Niederlassungsbewilligung C) noch der allenfalls bloss teilzeitliche Einsatz (70 % statt eine nach Lage der Akten zumutbare 100%ige Präsenz mit 30 % Leistungsreduktion) signifikant lohnmindernd aus (betreffend Ausländerstatus vgl. LSE 2002, 2004 und 2006, je TA12 [Anforderungsniveau 4/Niederlassungsbewilligung C/Frauen/Median]; betreffend Teilzeitarbeit: LSE 2002, T8*, S. 28 LSE 2004, T6*, S. 25; LSE 2006, T2*, S. 16). Entsprechendes gilt bezüglich des Alters der Versicherten (Jahrgang 1955; vgl. LSE 2002 und 2004, je TA 9, Anforderungsniveau 4/Frauen/Median). Ein spezifisch behinderungsbedingter Abzug zusätzlich zur anerkannten Einschränkung der Arbeitsfähigkeit von 30 % fällt ausser Betracht, nachdem die Beschwerdeführerin bereits früher keine schwerere Arbeit verrichtet hat, sie aus rein körperlicher Sicht in Rücken und periphere Gelenke schonenden Tätigkeiten ohne Tragen von Lasten über 20 kg während acht Stunden täglich voll einsetzbar wäre und die aus psychischen Gründen anerkannte Arbeitsunfähigkeit von 30 % nach den unbestrittenen Feststellungen der Vorinstanz den diversen Einschränkungen bereits maximal Rechnung trägt (vgl. E. 2.1 hievor); davon ist im Übrigen auch die Verwaltung in ihrer Verfügung vom 17. März 2008 implizit ausgegangen. Damit bliebe allenfalls noch das Kriterium der Anzahl Dienstjahre zu berücksichtigen; dieses allein aber vermöchte - auch angesichts der bereits sechsjährigen Erfahrung der Versicherten in einer Hilfstätigkeit - einen leidensbedingten Abzug von 15 % oder mehr nicht zu rechtfertigen (vgl. auch LSE 2004, TA1 [TOTAL Anforderungsniveau 4/Frauen] in Verbindung mit TA9 und TA10 [Anforderungsniveau 4/Frauen/Median]). Nicht abzugsrelevant sind schliesslich - invaliditätsfremde - Sprachschwierigkeiten, die sich hier gleichermassen auf das Validen- und Invalideneinkommen auswirken.</w:t>
      </w:r>
    </w:p>
    <w:p>
      <w:r>
        <w:rPr>
          <w:b/>
        </w:rPr>
        <w:t>E. 2.5</w:t>
      </w:r>
    </w:p>
    <w:p>
      <w:r>
        <w:t>Nach dem Gesagten bleibt für den beantragten leidensbedingten Abzug von mindestens 15 % kein Raum, sodass die vorinstanzliche Rentenaufhebung aufgrund eines festgestellten Invaliditätsgrades von 30 % zu bestätigen ist.</w:t>
      </w:r>
    </w:p>
    <w:p>
      <w:r>
        <w:rPr>
          <w:b/>
        </w:rPr>
        <w:t>E. 3</w:t>
      </w:r>
    </w:p>
    <w:p>
      <w:r>
        <w:t>Dem Prozessausgang entsprechend ist die Beschwerdeführerin kostenpflichtig (Art. 65 Abs. 1 und Abs. 4 lit. a in Verbindung mit Art. 66 Abs. 1 BGG ). Antragsgemäss wird ihr jedoch - mit ausdrücklichem Hinweis auf die spätere Ersatzleistungspflicht gegenüber dem Gericht gemäss Art. 64 Abs. 4 BGG - die unentgeltliche Rechtspflege im Sinne der vorläufigen Befreiung von den Gerichtskosten und der unentgeltlichen Verbeiständung gewährt, da die derzeitige Bedürftigkeit ausgewiesen ist, das Rechtsmittel namentlich mit Blick auf die gerügte Gehörsverletzung nicht als von vornherein aussichtslos gelten kann und die anwaltliche Vertretung notwendig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