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9C_938/2012 vom 3. Juli 2013</w:t>
      </w:r>
    </w:p>
    <w:p>
      <w:r>
        <w:t>Bundesgericht, 2013-07-03, DE</w:t>
      </w:r>
    </w:p>
    <w:p>
      <w:r>
        <w:rPr>
          <w:b/>
        </w:rPr>
        <w:t xml:space="preserve">Quelle: </w:t>
      </w:r>
      <w:r>
        <w:t>https://mcp.opencaselaw.ch/entscheid/bger_9C_938_2012</w:t>
      </w:r>
    </w:p>
    <w:p>
      <w:r>
        <w:t>FR: TF 9C_938/2012 du 3 juillet 2013</w:t>
      </w:r>
    </w:p>
    <w:p>
      <w:r>
        <w:t>IT: TF 9C_938/2012 del 3 luglio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Nach Art. 23 lit. a BVG hat Anspruch auf eine Invalidenrente,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w:t>
      </w:r>
    </w:p>
    <w:p>
      <w:r>
        <w:rPr>
          <w:b/>
        </w:rPr>
        <w:t>E. 2.1.2</w:t>
      </w:r>
    </w:p>
    <w:p>
      <w:r>
        <w:t>Die Leistungspflicht einer Vorsorgeeinrichtung für eine erst nach Beendigung des Vorsorgeverhältnisses eingetretene oder verschlimmerte Invalidität setzt voraus, dass zwischen der relevanten Arbeitsunfähigkeit und der nachfolgenden Invalidität ein enger sachlicher und zeitlicher Zusammenhang besteht. Der sachliche Zusammenhang ist zu bejahen, wenn der der Invalidität zugrunde liegende Gesundheitsschaden im Wesentlichen derselbe ist, der zur Arbeitsunfähigkeit geführt hat ( BGE 123 V 262 E. 1c S. 264 f.; 120 V 112 E. 2c/aa und bb S. 117 f. mit Hinweisen). Die Annahme eines engen zeitlichen Zusammenhangs setzt voraus, dass die versicherte Person nach Eintritt der Arbeitsunfähigkeit nicht während längerer Zeit wieder arbeitsfähig wurde ( BGE 123 V 262 E. 1c S. 265 mit Hinweisen).</w:t>
      </w:r>
    </w:p>
    <w:p>
      <w:r>
        <w:rPr>
          <w:b/>
        </w:rPr>
        <w:t>E. 2.1.3</w:t>
      </w:r>
    </w:p>
    <w:p>
      <w:r>
        <w:t>Für den Eintritt der Arbeitsunfähigkeit im Sinne von Art. 23 lit. a BVG ist die Einbusse an funktionellem Leistungsvermögen im bisherigen Beruf massgeblich; sie ist relevant, wenn sie mindestens 20 % beträgt und sich auf das Arbeitsverhältnis sinnfällig auswirkt oder ausgewirkt hat (Urteile 9C_18/2009 vom 7. April 2009 E. 3.2.1; 9C_772/2007 vom 26. Februar 2008 E. 3.2). Der zeitliche Zusammenhang zur später eingetretenen Invalidität als weitere Voraussetzung für den Anspruch auf Invalidenleistungen der damaligen Vorsorgeeinrichtung beurteilt sich hingegen nach der Arbeits (un) fähigkeit in einer der gesundheitlichen Beeinträchtigung angepassten zumutbaren Tätigkeit. Diese Beschäftigungen müssen jedoch bezogen auf die angestammte Arbeit die Erzielung eines rentenausschliessenden Einkommens erlauben ( BGE 134 V 20 E. 5.3 S. 27; Urteil 9C_292/2008 vom 22. August 2008 E. 2.2.2).</w:t>
      </w:r>
    </w:p>
    <w:p>
      <w:r>
        <w:rPr>
          <w:b/>
        </w:rPr>
        <w:t>E. 2.2.1</w:t>
      </w:r>
    </w:p>
    <w:p>
      <w:r>
        <w:t>Vorinstanzliche Feststellungen zur Art des Gesundheitsschadens (Befund, Diagnose etc.) und zur Arbeitsfähigkeit, die Ergebnis einer Beweiswürdigung sind, sind für das Bundesgericht grundsätzlich bindend (E. 1; vgl. BGE 132 V 393 E. 3.2 S. 397).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 9C_670/2010 vom 23. Dezember 2010 E. 1.2).</w:t>
      </w:r>
    </w:p>
    <w:p>
      <w:r>
        <w:rPr>
          <w:b/>
        </w:rPr>
        <w:t>E. 2.2.2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3.1</w:t>
      </w:r>
    </w:p>
    <w:p>
      <w:r>
        <w:t>Das kantonale Gericht ging in Würdigung der ärztlichen Unterlagen davon aus, dass die Femurkopfnekrosen beidseits nicht direkt aufgrund des Unfalls vom 6. April 2002 entstanden seien. Mit überwiegender Wahrscheinlichkeit handle es sich dabei auch nicht um indirekte Unfallfolgen infolge Fehl-/Überlastung, zumal beide Seiten betroffen seien. Die Arbeitsunfähigkeit während des Arbeitsverhältnisses sei somit in sachlicher Hinsicht einzig wegen der Unfallfolgen - nämlich der Fissur am Trochanter major - ausgewiesen. Es sei daher bei der Hüftnekrose von einem eigenständigen Leiden auszugehen, dessen Beginn und Einfluss auf die Arbeitsfähigkeit des Beschwerdeführers festzulegen sei. Den medizinischen Akten sei zu entnehmen, dass beidseitige Hüftbeschwerden bereits im Zeitpunkt festgestellt worden seien, als der Beschwerdeführer noch bei der Personalfürsorgestiftung angeschlossen gewesen sei. Zusammenfassend kam die Vorinstanz zum Schluss, dass zwar bereits während des bestehenden Vorsorgeverhältnisses beidseitige Hüftschmerzen bestanden hätten, diese allerdings lediglich möglicherweise, aber nicht mit dem im Sozialversicherungsrecht erforderlichen Beweisgrad der überwiegenden Wahrscheinlichkeit auf die im Februar 2003 erstmals diagnostizierten beidseitigen Femurkopfnekrosen zurückzuführen seien und die Arbeitsunfähigkeit des Beschwerdeführers bewirkt hätten. Der enge sachliche Zusammenhang zwischen der während des Vorsorgeverhältnisses entstandenen Beeinträchtigung des Leistungsvermögens und der schliesslich zur Zusprechung einer Rente der IV führenden Invalidität sei somit nicht genügend nachgewiesen.</w:t>
      </w:r>
    </w:p>
    <w:p>
      <w:r>
        <w:t>Was den zeitlichen Zusammenhang betrifft, ging das kantonale Gericht davon aus, den Akten zufolge habe beim Beschwerdeführer im Januar 2003 noch keine bleibende Erwerbsunfähigkeit in Höhe von 25 % bestanden. Demnach sei ein Rentenanspruch frühestens ab Januar 2004 zu bestimmen gewesen. Der Beschwerdeführer hätte damit bis zur frühest möglichen Entstehung des Rentenanspruchs mindestens während eines Jahres ein rentenausschliessendes Einkommen erzielen können. Dass ihm ab 1. Juli 2003 eine österreichische Invaliditätspension zugesprochen worden sei, sei vorliegend nicht zu berücksichtigen. Dem Begehren, es sei ein medizinisches Sachverständigengutachten insbesondere aus dem Fachbereich der Unfallchirurgie einzuholen, sei nicht stattzugeben. Da nicht anzunehmen sei, dass weitere medizinische Abklärungen für die Behandlung des vorliegend relevanten Sachverhalts neue Erkenntnisse brächten, könne darauf in antizipierter Beweiswürdigung verzichtet werden.</w:t>
      </w:r>
    </w:p>
    <w:p>
      <w:r>
        <w:rPr>
          <w:b/>
        </w:rPr>
        <w:t>E. 3.2</w:t>
      </w:r>
    </w:p>
    <w:p>
      <w:r>
        <w:t>Im Lichte der eingangs erwähnten Beweisregeln und Grundsätze zur Beweiswürdigung (E. 2.2.2) ist die vorinstanzliche Sachverhaltsfeststellung und die entsprechende Beweiswürdigung nicht mangelhaft im Sinne von Art. 97 Abs. 1 BGG . Das kantonale Gericht hat sich mit allen relevanten medizinischen Unterlagen auseinandergesetzt und eingehend begründet, weshalb kein sachlicher Zusammenhang zwischen dem beim Skiunfall am 6. April 2002 zugezogenen Knochenriss und den beidseitigen Femurkopfnekrosen, welche die Ausrichtung einer Rente der Invalidenversicherung begründet haben, besteht. Ebenso wenig hat es mit der antizipierten Beweiswürdigung Bundesrecht verletzt. Nicht stichhaltig ist auch die geltend gemachte Verletzung des rechtlichen Gehörs, denn entgegen der Auffassung des Beschwerdeführers hat das kantonale Gericht (E. 3.4 und 3.5 seines Entscheids) das Gutachten des Prof. Dr. B.________ vom 3. September 2005 in seine Beurteilung miteinbezogen. Selbst wenn ein sachlicher Zusammenhang bejaht wird, führt dies zu keinem andern Ergebnis. Das kantonale Gericht hat mit eingehender Begründung den zeitlichen Zusammenhang verneint. Es hat festgestellt, dass beim Beschwerdeführer im Januar 2003 noch keine bleibende Erwerbsunfähigkeit in Höhe von 25 % bestand und er bis zur frühest möglichen Entstehung des Rentenanspruchs mindestens während eines Jahres ein rentenausschliessendes Einkommen hätte erzielen können. Mit dieser tatsächlichen Feststellung, welche für das Bundesgericht verbindlich ist ( Art. 105 Abs. 1 BGG ), setzt sich der Beschwerdeführer mit Blick auf Art. 42 Abs. 2 BGG nicht in rechtsgenügender Weise auseinander ( BGE 133 IV 119 E. 6.3 S. 120 f. mit Hinweisen; vgl. auch Urteile 8C_796/2010 vom 25. März 2011 E. 4 und 8C_1000/2010 vom 8. Dezember 2010). Mit Bezug auf den zeitlichen Zusammenhang wird einzig vorgebracht, das beantragte neue Gutachten hätte mit an Sicherheit grenzender Wahrscheinlichkeit gezeigt, dass nicht nur der sachliche, sondern auch der zeitliche Konnex zwischen dem Unfall vom 6. April 2002 und der Invalidität des Klägers gegeben sei. Nach dem Entscheid des Bundesverwaltungsgerichts vom 24. November 2008 bestand in einer leidensangepassten Tätigkeit bis zum 1. Mai 2005 eine volle Arbeitsfähigkeit und ein Anspruch auf eine Viertelsrente ab 1. Mai 2005. Da der Beschwerdeführer nach Beendigung des Vorsorgeverhältnisses mit der Beschwerdegegnerin nach den verbindlichen Feststellungen des kantonalen Gerichts ein rentenausschliessendes Einkommen hätte erzielen können, hat der zeitliche Konnex zwischen der Arbeitsunfähigkeit während des Vorsorgeverhältnisses und der rund 11 /2 Jahre später eingetretenen Invalidität als unterbrochen zu gelten ( BGE 134 V 20 E. 5.3 S. 27). Der kantonale Gerichtsentscheid hält daher vor Bundesrecht stand.</w:t>
      </w:r>
    </w:p>
    <w:p>
      <w:r>
        <w:rPr>
          <w:b/>
        </w:rPr>
        <w:t>E. 4</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