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9C_935/2012 vom 16. September 2013</w:t>
      </w:r>
    </w:p>
    <w:p>
      <w:r>
        <w:t>Bundesgericht, 2013-09-16, DE</w:t>
      </w:r>
    </w:p>
    <w:p>
      <w:r>
        <w:rPr>
          <w:b/>
        </w:rPr>
        <w:t xml:space="preserve">Quelle: </w:t>
      </w:r>
      <w:r>
        <w:t>https://mcp.opencaselaw.ch/entscheid/bger_9C_935_2012</w:t>
      </w:r>
    </w:p>
    <w:p>
      <w:r>
        <w:t>FR: TF 9C_935/2012 du 16 septembre 2013</w:t>
      </w:r>
    </w:p>
    <w:p>
      <w:r>
        <w:t>IT: TF 9C_935/2012 del 16 settembre 2013</w:t>
      </w:r>
    </w:p>
    <w:p>
      <w:pPr>
        <w:pStyle w:val="Heading2"/>
      </w:pPr>
      <w:r>
        <w:t>Erwägungen</w:t>
      </w:r>
    </w:p>
    <w:p>
      <w:r>
        <w:rPr>
          <w:b/>
        </w:rPr>
        <w:t>E. 1</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3 und 4 [seit 1. Januar 2012: Abs. 2 und 3] IVV). Tritt die IV-Stelle auf die Neuanmeldung ein, hat sie abzuklären, ob eine solche (glaubhaft gemachte) Veränderung tatsächlich eingetreten ist. Verneinendenfalls weist sie das Rentengesuch ab ( BGE 117 V 198 E. 3a S. 198). Die Frage, ob eine erhebliche Tatsachenänderung im Sinne von aArt. 87 Abs. 3 IVV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 BGE 130 V 71 E. 3.2.3 S. 75 ff.; vgl. auch BGE 133 V 108 ; Urteil 9C_236/2011 vom 8. Juli 2011 E. 2.1).</w:t>
      </w:r>
    </w:p>
    <w:p>
      <w:r>
        <w:rPr>
          <w:b/>
        </w:rPr>
        <w:t>E. 2</w:t>
      </w:r>
    </w:p>
    <w:p>
      <w:r>
        <w:t>Nach Auffassung der Vorinstanz ist zeitliche Vergleichsbasis die Verfügung vom 29. Juli 2004, der eine rechtskonforme Sachverhaltsabklärung zugrunde gelegen habe. Der damaligen Verzicht der IV-Stelle auf eine psychiatrische Abklärung des Gesundheitszustandes sei vertretbar gewesen. In Würdigung der Akten ist sie zum Ergebnis gelangt, der rechtserhebliche Sachverhalt sei seither bis zum Erlass der angefochtenen Verfügung vom 22. Dezember 2010 unverändert geblieben. Die IV-Stelle habe daher einen Rentenanspruch zu Recht erneut verneint.</w:t>
      </w:r>
    </w:p>
    <w:p>
      <w:r>
        <w:t>Der Beschwerdeführer rügt, die vorinstanzliche Annahme, die Verfügung vom 29. Juli 2004 stütze sich auf eine rechtskonforme Sachverhaltsabklärung, sei offensichtlich unrichtig ( Art. 97 Abs. 1 BGG ). Trotz gewichtiger Indizien, dass er unter psychiatrischen Einschränkungen mit Auswirkungen auf die Arbeitsfähigkeit leide, seien keine diesbezüglichen Abklärungen vorgenommen worden. In der Entdeckung der Diagnose einer kombinierten Persönlichkeitsstörung sei eine (prozessualer) Revisionsgrund im Sinne von Art. 53 Abs. 1 ATSG zu sehen. Dass die Vorinstanz den Anspruch auf eine Invalidenrente nicht geprüft habe, verletze Bundesrecht ( Art. 95 lit. a BGG ).</w:t>
      </w:r>
    </w:p>
    <w:p>
      <w:r>
        <w:rPr>
          <w:b/>
        </w:rPr>
        <w:t>E. 3</w:t>
      </w:r>
    </w:p>
    <w:p>
      <w:r>
        <w:t>Die IV-Stelle hatte keine Veranlassung, den Versicherten vor Erlass der Verfügung vom 29. Juli 2004 psychiatrisch abzuklären. Zwar gab er in der Anmeldung vom 18. Januar 2004 an, auf Grund seiner Kindheit extrem milieugeschädigt zu sein, Angstzustände und Depressionen sowie ehemals Drogen konsumiert zu haben. Gemäss Arztbericht des Gesundheitszentrums vom 9. Juli 2004 wurden die wesentlichen psychischen Funktionen jedoch als "uneingeschränkt" taxiert (einzig zur Belastbarkeit waren keine Angaben möglich). Nachdem keine anderslautende ärztliche Anhaltspunkte vorlagen, der Versicherte auch nicht in entsprechender Behandlung stand - trotz ausdrücklicher Aufforderung, anzugeben, ob er noch bei anderen Ärzten als im Gesundheitszentrum in Behandlung sei resp. gewesen sei, erfolgte keine Mitteilung -, kann der Verwaltung in Übereinstimmung mit der Vorinstanz nicht zum Vorwurf gemacht werden, sie hätte den Sachverhalt im Zeitpunkt der Vergleichsverfügung unvollständig abgeklärt.</w:t>
      </w:r>
    </w:p>
    <w:p>
      <w:r>
        <w:rPr>
          <w:b/>
        </w:rPr>
        <w:t>E. 4</w:t>
      </w:r>
    </w:p>
    <w:p>
      <w:r>
        <w:t>Die Vorinstanz hat erwogen, da sowohl Dr. K.________ als auch Dr. U.________ von einem seit dem Jahr XXX bzw. seit der Jugend bestehenden Zustand ausgehen würden, sei anzunehmen, dass sich der rechtserhebliche medizinische Sachverhalt seit der letzten materiell begründeten Rentenabweisung mit Verfügung vom 29. Juli 2004 nicht geändert habe. Diese Feststellung entbehrt einer rechtsgenüglichen Grundlage. Eine Diagnose allein sagt wenig über das Ausmass der Einschränkung der Arbeitsfähigkeit aus, weshalb sie - entgegen der Ansicht des Beschwerdeführers - keinen (prozessualen) Revisionsgrund bildet. Wohl gibt es einen "roten Faden", der sich durch die Biografie des Beschwerdeführers zieht. Die Feststellung einer Aggravation im Gutachten von Dr. U.________ vom 10. Januar 2010 und die vom Beschwerdeführer gezeigte Kooperation mit der IV-Stelle sind jedoch keine hinreichenden Nachweise dafür, dass sich seit dem Jahr 2004 nichts Rechtserhebliches in gesundheitlicher resp. erwerblicher Hinsicht verändert hat. Fachärztliche Untersuchungen oder anderweitig - erhärtete - objektive Anhaltspunkte, die sich unmittelbar auf den Vergleichszeitpunkt (29. Juli 2004) beziehen, fehlen komplett. Die vorinstanzliche Gleichsetzung von "damals" und "heute" kommt unter diesen Umständen nicht über den Beweisgrad des Möglichen hinaus, was für eine bundesrechtskonforme Sachverhaltswürdigung nicht genügt. In der mangelnden Untermauerung der Vergangenheit liegt auch die Schwäche der Einschätzungen von Dr. K.________ vom 20. Februar 2008 (behandelnder Arzt) und von Dr. U.________ vom 10. Januar 2010, weshalb die erwerblichen Auswirkungen nicht unbesehen auf die frühere Zeit rückbezogen werden können. Auf eine erneute Begutachtung kann verzichtet werden, zumal sich bei einer solchen die gleiche (inkomplette) Sachlage präsentieren würde. Schliesslich liegt auf der Hand, dass auf die medizinische Selbsteinschätzung des Beschwerdeführers nicht abgestellt werden kann.</w:t>
      </w:r>
    </w:p>
    <w:p>
      <w:r>
        <w:rPr>
          <w:b/>
        </w:rPr>
        <w:t>E. 5</w:t>
      </w:r>
    </w:p>
    <w:p>
      <w:r>
        <w:t>Hat die Vorinstanz zu Unrecht eine erhebliche Tatsachenänderung verneint, folgt die Frage nach der Invaliditätsbemessung. Es steht fest, dass der Beschwerdeführer im hier fraglichen Verfügungszeitpunkt klar vermindert arbeitsfähig ist, in welcher Hinsicht die Einschätzungen von Dr. K.________ (100%ige Arbeitsunfähigkeit) und Dr. U.________ (40%ige Arbeitsunfähigkeit auf dem "1. ausgeglichenen Arbeitsmarkt", womit unzweifelhaft eine unselbstständige Erwerbstätigkeit verstanden wird) grundsätzlich übereinstimmen. Die Vorinstanz hat die Abweichung im Ausmass nicht gewürdigt, was an dieser Stelle zu ergänzen ist ( Art. 105 Abs. 2 BGG ; BGE 136 V 362 E. 4.1 S. 366) : Eine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was hier der Fall ist (insbesondere setzt sich Dr. U.________ eingehend mit der abweichenden Meinung von Dr. K.________ auseinander). Daher und unter Beachtung der Divergenz von medizinischem Behandlungs- und Abklärungsauftrag kann es nicht angehen, eine medizinische Administrativexpertise einzig in Frage zu stellen, wenn der behandelnde Arzt zu einer unterschiedlichen Einschätzungen gelangt oder an der vorgängig geäusserten abweichenden Auffassungen festhält (Urteil 9C_15/2013 vom 22. Mai 2013 E. 5.1 mit weiterem Hinweis). Im Übrigen hat auch der regionale ärztliche Dienst der IV-Stelle (RAD) das Gutachten von Dr. U.________ - indem er auch auf die "Replik" von Dr. K.________ vom 3. August 2010 einging - nachvollziehbar als verwertbar beurteilt. Soweit Dr. U.________ den Beschwerdeführer in einer quasi-selbstständigen Tätigkeit ("Marktfahrer, Hilfsarbeiter mit grosser Autonomie") als nicht relevant eingeschränkt einschätzt, kann indessen darauf nicht abgestellt werden. Abgesehen davon, dass es sich dabei um nicht weiter konkretisierte Arbeitsgelegenheiten handelt, steht nicht mit überwiegender Wahrscheinlichkeit fest, dass dem Beschwerdeführer auf dem ausgeglichenen Arbeitsmarkt genügend solche Anstellungsmöglichkeiten offen stünden.</w:t>
      </w:r>
    </w:p>
    <w:p>
      <w:r>
        <w:rPr>
          <w:b/>
        </w:rPr>
        <w:t>E. 6</w:t>
      </w:r>
    </w:p>
    <w:p>
      <w:r>
        <w:t>Nach dem Gesagten (vgl. E. 4) erweist sich der ordentliche Einkommensvergleich als ungeeignet. Bei einer medizinisch ausgewiesenen Restarbeitsfähigkeit von 60 % ergibt der Prozentvergleich eine 40%ige Einbusse. Damit wird eine rentenbegründende Invalidität in gleicher Höhe erreicht. Dies gibt ab 1. März 2009 (vgl. Art. 29 IVG ) Anspruch auf eine Viertelsrente.</w:t>
      </w:r>
    </w:p>
    <w:p>
      <w:r>
        <w:rPr>
          <w:b/>
        </w:rPr>
        <w:t>E. 7</w:t>
      </w:r>
    </w:p>
    <w:p>
      <w:r>
        <w:t>Auf die Erhebung von Gerichtskosten wird verzichtet. Dem Beschwerdeführer steht im Rahmen des teilweisen Obsiegens eine reduzierte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