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9C_932/2015 vom 18. Dezember 2015</w:t>
      </w:r>
    </w:p>
    <w:p>
      <w:r>
        <w:t>Bundesgericht, 2015-12-18, DE</w:t>
      </w:r>
    </w:p>
    <w:p>
      <w:r>
        <w:rPr>
          <w:b/>
        </w:rPr>
        <w:t xml:space="preserve">Quelle: </w:t>
      </w:r>
      <w:r>
        <w:t>https://mcp.opencaselaw.ch/entscheid/bger_9C_932_2015</w:t>
      </w:r>
    </w:p>
    <w:p>
      <w:r>
        <w:t>FR: TF 9C_932/2015 du 18 décembre 2015</w:t>
      </w:r>
    </w:p>
    <w:p>
      <w:r>
        <w:t>IT: TF 9C_932/2015 del 18 dicembre 2015</w:t>
      </w:r>
    </w:p>
    <w:p>
      <w:pPr>
        <w:pStyle w:val="Heading2"/>
      </w:pPr>
      <w:r>
        <w:t>Volltext</w:t>
      </w:r>
    </w:p>
    <w:p>
      <w:r>
        <w:t>Bundesgericht</w:t>
      </w:r>
    </w:p>
    <w:p>
      <w:r>
        <w:t>Tribunal fédéral</w:t>
      </w:r>
    </w:p>
    <w:p>
      <w:r>
        <w:t>Tribunale federale</w:t>
      </w:r>
    </w:p>
    <w:p>
      <w:r>
        <w:t>Tribunal federal</w:t>
      </w:r>
    </w:p>
    <w:p>
      <w:r>
        <w:t>9C_932/2015 {T 0/2}</w:t>
      </w:r>
    </w:p>
    <w:p>
      <w:r>
        <w:t>Urteil vom 18. Dezember 2015</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27. Oktober 2015.</w:t>
      </w:r>
    </w:p>
    <w:p>
      <w:r>
        <w:t>Nach Einsicht</w:t>
      </w:r>
    </w:p>
    <w:p>
      <w:r>
        <w:t>in die Beschwerde vom 10. Dezember 2015 (Datum des Poststempels) gegen den Entscheid des Versicherungsgerichts des Kantons Aargau vom 27. Oktober 2015 betreffend die von der IV-Stelle des Kantons Aargau verfügte fachärztliche Abklärung in orthopädisch/neurologischer Hinsicht beim Zentrum B.________,</w:t>
      </w:r>
    </w:p>
    <w:p>
      <w:r>
        <w:t>in Erwägung,</w:t>
      </w:r>
    </w:p>
    <w:p>
      <w:r>
        <w:t>dass gerichtliche Zwischenentscheide, die sich mit Verfügungen einer IV-Stelle über die Einholung von medizinischen Gutachten befassen, vor Bundesgericht - auch mit Blick auf die Verfahrensgrundrechte nach BV und EMRK - nur soweit selbständig anfechtbar sind, als sie (formelle) Ablehnungsgründe gegen eine sachverständige Person im konkreten Fall ( Art. 92 Abs. 1 BGG ; BGE 138 V 271 ; 318 E. 6.2 S. 323) oder die Nichtbehandlung bereits im kantonalen Gerichtsverfahren vorgebrachter einschlägiger Rügen betreffen (Urteil 9C_207/2012 vom 3. Juli 2013 E. 1.2.6 f., nicht publ. in: BGE 139 V 349 , aber in: SVR 2013 IV Nr. 31 S. 91),</w:t>
      </w:r>
    </w:p>
    <w:p>
      <w:r>
        <w:t>dass hinsichtlich anderer Aspekte das Bundesgericht die Anordnung des Gutachtens gegebenenfalls zusammen mit dem Endentscheid auf deren Bundesrechtskonformität hin prüft (vgl. Art. 93 Abs. 3 BGG ),</w:t>
      </w:r>
    </w:p>
    <w:p>
      <w:r>
        <w:t>dass der Beschwerdeführer einzig geltend macht, die vorgesehene Begutachtung dürfe sich nicht auf die Wirbelsäule beschränken, sondern müsse "theoretisch gesehen am grossen Zeh (anfangen) und am obersten Ende der Halswirbelsäule" enden,</w:t>
      </w:r>
    </w:p>
    <w:p>
      <w:r>
        <w:t>dass indessen Fragen zum erforderlichen Umfang der fachärztlichen Begutachtung nach dem Gesagten im gegenwärtigen Verfahrensstadium vor Bundesgericht nicht thematisiert werden können,</w:t>
      </w:r>
    </w:p>
    <w:p>
      <w:r>
        <w:t>dass auf die offensichtlich unzulässige Beschwerde im vereinfachten Verfahren nach Art. 108 Abs. 1 lit. b sowie Abs. 2 BGG nicht einzutreten ist,</w:t>
      </w:r>
    </w:p>
    <w:p>
      <w:r>
        <w:t>dass in Anwendung von Art. 66 Abs. 1 zweiter Satz BGG auf die Erhebung von Gerichtskosten verzichtet wird, womit das Gesuch des Beschwerdeführers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18. Dezember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