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9C_930/2011 vom 14. Dezember 2012</w:t>
      </w:r>
    </w:p>
    <w:p>
      <w:r>
        <w:t>Bundesgericht, 2012-12-14, FR</w:t>
      </w:r>
    </w:p>
    <w:p>
      <w:r>
        <w:rPr>
          <w:b/>
        </w:rPr>
        <w:t xml:space="preserve">Quelle: </w:t>
      </w:r>
      <w:r>
        <w:t>https://mcp.opencaselaw.ch/entscheid/bger_9C_930_2011</w:t>
      </w:r>
    </w:p>
    <w:p>
      <w:r>
        <w:t>FR: TF 9C_930/2011 du 14 décembre 2012</w:t>
      </w:r>
    </w:p>
    <w:p>
      <w:r>
        <w:t>IT: TF 9C_930/2011 del 14 dicembre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A l'appui de ses griefs, le recourant fait valoir l'existence d'un lien de connexité matérielle entre l'invalidité qui lui a été reconnue à partir du mois de novembre 2006 et l'incapacité de travail qui s'était manifestée durant le rapport de prévoyance auprès de la caisse. En revanche, le recours ne contient aucun grief concernant la période du 1er janvier 2005 au 31 octobre 2006. Dans la mesure où les conclusions du recourant tendent au versement d'un quart de rente d'invalidité de la prévoyance professionnelle pour la période du 1er janvier 2005 au 31 octobre 2006, elles doivent être déclarées irrecevables, faute de motivation suffisante au sens de l' art. 42 al. 2 LTF (cf. ATF 134 V 53 consid. 3.3 p. 60).</w:t>
      </w:r>
    </w:p>
    <w:p>
      <w:r>
        <w:rPr>
          <w:b/>
        </w:rPr>
        <w:t>E. 3</w:t>
      </w:r>
    </w:p>
    <w:p>
      <w:r>
        <w:t>Le litige porte donc uniquement sur le droit du recourant à une rente entière d'invalidité de la prévoyance professionnelle à partir du 1er novembre 2006. Il s'agit en particulier de savoir s'il existe un lien de connexité matérielle entre l'invalidité reconnue à partir du mois de novembre 2006 et l'incapacité de travail survenue avant le 1er janvier 1999, singulièrement si les troubles psychiques à l'origine de l'aggravation de l'invalidité influençaient déjà la capacité de travail du recourant alors qu'il était assuré auprès de la caisse intimée.</w:t>
      </w:r>
    </w:p>
    <w:p>
      <w:r>
        <w:rPr>
          <w:b/>
        </w:rPr>
        <w:t>E. 4</w:t>
      </w:r>
    </w:p>
    <w:p>
      <w:r>
        <w:t>Ont droit à des prestations d'invalidité les invalides qui étaient assurés lors de la survenance de l'incapacité de travail dont la cause est à l'origine de l'invalidité (art. 23, 2ème partie de la phrase, LPP). Selon la jurisprudence, l'événement assuré au sens de l' art. 23 LPP (dans sa teneur en vigueur jusqu'au 31 décembre 2004) est uniquement la survenance d'une incapacité de travail d'une certaine importance, indépendamment du point de savoir à partir de quel moment et dans quelle mesure un droit à des prestations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statuaires ou réglementaires contraires ( ATF 123 V 262 consid. 1a et b p. 263 et les références citées).</w:t>
      </w:r>
    </w:p>
    <w:p>
      <w:r>
        <w:t>Cependant, pour que l'institution de prévoyance reste tenue à prestations après la dissolution des rapports de travail,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 ATF 123 V 262 consid. 1c p. 264, 120 V 112 consid. 2c/aa p. 117).</w:t>
      </w:r>
    </w:p>
    <w:p>
      <w:r>
        <w:t>Lorsque plusieurs atteintes à la santé concourent à l'invalidité, il ne suffit pas de constater la persistance d'une incapacité de gain et d'une incapacité de travail qui a débuté durant l'affiliation à l'institution de prévoyance pour justifier le droit à une prestation de prévoyance. Il convient au contraire, conformément à l' 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(arrêt du Tribunal fédéral 9C_578/2011 du 12 octobre 2012 consid. 6.3 et l'arrêt cité, destiné à la publication).</w:t>
      </w:r>
    </w:p>
    <w:p>
      <w:r>
        <w:rPr>
          <w:b/>
        </w:rPr>
        <w:t>E. 5.1</w:t>
      </w:r>
    </w:p>
    <w:p>
      <w:r>
        <w:t>La juridiction cantonale a nié au recourant le droit à des prestations de la prévoyance professionnelle, au motif qu'il n'existait pas de lien de connexité matérielle entre l'incapacité de travail survenue pendant son affiliation auprès de la caisse et l'atteinte à la santé justifiant l'octroi d'une rente entière de l'assurance-invalidité à partir du 1er novembre 2006. Se fondant essentiellement sur les arrêts du Tribunal cantonal des assurances sociales des 11 août 2004 et 19 août 2008 rendus en matière d'assurance-invalidité, elle a constaté que l'incapacité de travail présentée par le recourant depuis 1996 jusqu'à la fin de son affiliation auprès de la caisse, soit jusqu'au 31 décembre 1998, avait pour seule origine des troubles lombaires, lesquels ne s'étaient pas aggravés depuis lors. Or, l'aggravation de l'invalidité en novembre 2006 était due à des troubles psychiques.</w:t>
      </w:r>
    </w:p>
    <w:p>
      <w:r>
        <w:rPr>
          <w:b/>
        </w:rPr>
        <w:t>E. 5.2</w:t>
      </w:r>
    </w:p>
    <w:p>
      <w:r>
        <w:t>Le recourant reproche en substance à la juridiction cantonale d'avoir nié l'existence d'une incapacité de travail d'origine psychique avant le 1er janvier 1999.</w:t>
      </w:r>
    </w:p>
    <w:p>
      <w:r>
        <w:rPr>
          <w:b/>
        </w:rPr>
        <w:t>E. 6.1</w:t>
      </w:r>
    </w:p>
    <w:p>
      <w:r>
        <w:t>En l'espèce, la juridiction cantonale a considéré qu'il n'existait aucun motif de revenir sur l'appréciation des rapports médicaux faite par le Tribunal cantonal des assurances sociales dans son jugement du 11 août 2004. Celui-ci avait alors retenu que l'assuré disposait d'une capacité de travail de 70 à 75 % dans une activité légère (cf. rapport d'expertise du SAM du 7 novembre 2000). Quand bien même on aurait retenu le diagnostic de trouble somatoforme douloureux posé par le docteur A.________, cette affection ne revêtait pas de caractère invalidant. De même, le jugement rendu le 19 août 2008 par le Tribunal cantonal des assurances sociales expliquait clairement les raisons pour lesquelles l'origine du trouble dépressif sévère diagnostiqué par les experts du CEM ne pouvait pas remonter à 1996. Il ne ressortait par ailleurs pas des autres pièces médicales versées au dossier et des rapports médicaux produits par le recourant au cours de la procédure que celui-ci aurait présenté des troubles psychiques à caractère invalidant antérieurement au 1er janvier 1999.</w:t>
      </w:r>
    </w:p>
    <w:p>
      <w:r>
        <w:rPr>
          <w:b/>
        </w:rPr>
        <w:t>E. 6.2</w:t>
      </w:r>
    </w:p>
    <w:p>
      <w:r>
        <w:t>A la lecture du jugement entrepris, il y a lieu de constater que les premiers juges ont fondé leur raisonnement sur des bases manifestement erronées. Les jugements auxquels s'est référée la juridiction cantonale n'étaient pas de nature à renseigner sur la question de savoir si le recourant était atteint de troubles psychiques entraînant une incapacité de travail à l'époque de son affiliation auprès de l'intimée. L'objet du litige dans les procédures qui ont donné lieu à ces jugements portait sur la fixation du degré d'invalidité au sens des dispositions de la LAI, ce qui présupposait une appréciation globale de la capacité résiduelle de travail du recourant, sans distinction entre les différentes atteintes à la santé.</w:t>
      </w:r>
    </w:p>
    <w:p>
      <w:r>
        <w:t>En l'occurrence, il appartenait à la juridiction cantonale de déterminer si les troubles à l'origine de l'invalidité reconnue en 2006 étaient en lien de connexité matérielle avec l'incapacité de travail existant avant le 1er janvier 1999. Sa tâche consistait plus particulièrement à définir les différentes affections à l'origine de l'aggravation de cette invalidité et d'examiner si celles-ci étaient présentes à l'époque de l'affiliation et avaient altéré la capacité de travail, sur la base des pièces médicales établies à l'époque des faits. La juridiction cantonale n'a toutefois pas procédé à cet examen, en violation du droit fédéral. Dans ces circonstances, l'argumentation développée par l'intimée dans sa détermination du 3 décembre 2012 tendant à confirmer le jugement cantonal ne saurait être pertinente. Il existait par ailleurs des indices laissant à penser que le recourant présentait déjà des troubles psychiques entraînant une incapacité de travail avant le 1er janvier 1999. Il ressortait par exemple de l'expertise réalisée au SAM, telle qu'exposée dans l'état de fait du jugement entrepris, que le recourant souffrait d'un trouble de la lignée dépressive (trouble dysthymique); le docteur F.________, spécialiste FMH en psychiatrie et psychothérapie, appelé à fournir une appréciation sur l'état de santé psychique du recourant, avait alors indiqué que cette affection justifiait à elle-seule une incapacité de travail de 30 %. Quand bien même cette expertise a été réalisée postérieurement à la période litigieuse, on ne pouvait exclure, au degré de la vraisemblance prépondérante requise en matière d'assurances sociales, que les troubles décrits par les experts du SAM n'étaient pas déjà présents à ce moment-là.</w:t>
      </w:r>
    </w:p>
    <w:p>
      <w:r>
        <w:rPr>
          <w:b/>
        </w:rPr>
        <w:t>E. 6.3</w:t>
      </w:r>
    </w:p>
    <w:p>
      <w:r>
        <w:t>Sur le vu de ce qui précède, il convient d'admettre le recours, d'annuler le jugement entrepris et de renvoyer la cause à la juridiction cantonale pour instruction complémentaire et nouveau jugement. Dans la mesure où la question du lien de connexité matérielle nécessite un examen des pièces médicales établies tout au long de la procédure, il lui appartiendra de verser en cause le dossier de l'assurance-invalidité et celui de l'assurance perte de gain en cas de maladie.</w:t>
      </w:r>
    </w:p>
    <w:p>
      <w:r>
        <w:rPr>
          <w:b/>
        </w:rPr>
        <w:t>E. 7</w:t>
      </w:r>
    </w:p>
    <w:p>
      <w:r>
        <w:t>Vu l'issue du litige, les frais judiciaires sont supportés par l'intimée ( art. 66 al. 1 LTF en relation avec l' art. 65 al. 4 let. a LTF ). Le recourant, qui obtient gain de cause, a droit à une indemnité de dépens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