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9C_92/2023 vom 5. Juli 2023</w:t>
      </w:r>
    </w:p>
    <w:p>
      <w:r>
        <w:t>Bundesgericht, 2023-07-05, DE</w:t>
      </w:r>
    </w:p>
    <w:p>
      <w:r>
        <w:rPr>
          <w:b/>
        </w:rPr>
        <w:t xml:space="preserve">Quelle: </w:t>
      </w:r>
      <w:r>
        <w:t>https://mcp.opencaselaw.ch/entscheid/bger_9C_92_2023</w:t>
      </w:r>
    </w:p>
    <w:p>
      <w:r>
        <w:t>FR: TF 9C_92/2023 du 5 juillet 2023</w:t>
      </w:r>
    </w:p>
    <w:p>
      <w:r>
        <w:t>IT: TF 9C_92/2023 del 5 luglio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Vorinstanzliche Feststellungen zur Art des Gesundheitsschadens und zur Arbeitsfähigkeit, die Ergebnis einer Beweiswürdigung sind, sind für das Bundesgericht grundsätzlich bindend (vgl. BGE 132 V 393 E. 3.2). Tatfrage ist auch jene nach dem Zeitpunkt des Eintritts der Arbeitsunfähigkeit, deren Ursache zur Invalidität geführt hat (Urteil 9C_521/2022 vom 2. März 2023 E. 1.2 mit weiterem Hinweis). Frei überprüfbare Rechtsfrage ist dagegen, nach welchen Gesichtspunkten die Entscheidung über den Zeitpunkt des Eintritts einer massgebenden Arbeitsunfähigkeit zu erfolgen hat, und ob die Beweiswürdigung unter Beachtung der rechtsprechungsgemäss relevanten Kriterien erfolgte (Urteil 9C_143/2021 vom 25. Juni 2021 E. 1.2).</w:t>
      </w:r>
    </w:p>
    <w:p>
      <w:r>
        <w:rPr>
          <w:b/>
        </w:rPr>
        <w:t>E. 2</w:t>
      </w:r>
    </w:p>
    <w:p>
      <w:r>
        <w:t>Streitig und zu prüfen ist, ob das kantonale Gericht Bundesrecht verletzte, als es einen Anspruch der Versicherten auf Invalidenleistungen aus beruflicher Vorsorge gegen die Beschwerdegegnerin verneinte.</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Besteht zwischen einer vor Beginn des Vorsorgeverhältnisses aufgetretenen Arbeitsunfähigkeit und der nachfolgenden Invalidität sowohl in sachlicher und zeitlicher Hinsicht ein enger Zusammenhang, entfällt daher eine Leistungspflicht, selbst wenn der Versicherte während der Dauer des Vorsorgeverhältnisses (vorübergehend) wieder die Arbeitsfähigkeit erlangt hatte ( BGE 123 V 264 f. E. 1a und c, je mit Hinweisen). Der sachliche Konnex ist gegeben, wenn der Gesundheitsschaden, welcher zur Arbeitsunfähigkeit geführt hat, im Wesentlichen derselbe ist, wie er der Erwerbsunfähigkeit zugrunde liegt ( BGE 138 V 409 E. 6.2).</w:t>
      </w:r>
    </w:p>
    <w:p>
      <w:r>
        <w:rPr>
          <w:b/>
        </w:rPr>
        <w:t>E. 3.2</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5.3; Urteil 9C_278/2015 vom 2. Februar 2016 E. 2.3.2).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(vgl. Urteil 9C_877/2018 vom 22. August 2019 E. 3.3).</w:t>
      </w:r>
    </w:p>
    <w:p>
      <w:r>
        <w:rPr>
          <w:b/>
        </w:rPr>
        <w:t>E. 3.3</w:t>
      </w:r>
    </w:p>
    <w:p>
      <w:r>
        <w:t>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und - vorliegend indessen nicht von weiterer Bedeutung - kumulativ bezogen auf die angestammte Tätigkeit ein rentenausschliessendes Einkommen erzielt werden kann (vgl. Urteil 9C_521/2022 vom 2. März 2023 E. 4.3.3; BGE 134 V 20 E. 5.3).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9C_340/2015 vom 21. November 2016 E. 4.1.2).</w:t>
      </w:r>
    </w:p>
    <w:p>
      <w:r>
        <w:rPr>
          <w:b/>
        </w:rPr>
        <w:t>E. 4.1</w:t>
      </w:r>
    </w:p>
    <w:p>
      <w:r>
        <w:t>Es steht fest und ist unbestritten, dass die Arbeitsunfähigkeit, aufgrund derer die Versicherte später invalid wurde, bereits unmittelbar nach ihrer Traumatisierung beim Überfall vom xxxx 2009 eingetreten ist, mithin zu einem Zeitpunkt, als sie noch nicht bei der Beschwerdegegnerin berufsvorsorgeversichert war. Streitig ist demgegenüber die vom kantonalen Gericht verneinte Frage, ob dieser gegebene sachliche Konnex während der Zeit, als sie bei der Beschwerdegegnerin versichert war, unterbrochen wurde. Die Beschwerdeführerin macht in diesem Kontext im Wesentlichen geltend, sie habe in der Zeit von August 2010 bis Januar 2011 mit einem Pensum von durchschnittlich 95 % für die B.________ GmbH gearbeitet.</w:t>
      </w:r>
    </w:p>
    <w:p>
      <w:r>
        <w:rPr>
          <w:b/>
        </w:rPr>
        <w:t>E. 4.2</w:t>
      </w:r>
    </w:p>
    <w:p>
      <w:r>
        <w:t>In Würdigung der gesamten Umstände verneinte das kantonale Gericht eine nachhaltige berufliche Wiedereingliederung der Versicherten. Die Beschwerdeführerin macht dagegen unter anderem geltend, diese Würdigung sei willkürlich, habe ihr doch keine medizinische Fachperson für den hier entscheidenden Zeitraum von August 2010 bis Januar 2011 eine Arbeitsunfähigkeit attestiert. Wie das kantonale Gericht indessen nachvollziehbar erwogen hat, fehlen für den hier entscheidenden Zeitraum echtzeitliche ärztliche Bescheinigungen sowohl für eine Arbeitsfähig- als auch für eine Arbeitsunfähigkeit, da die Versicherte ihren behandelnden Arzt zuletzt am 19. Juli 2010 aufgesucht hatte. Bei Fehlen echtzeitlicher Berichte kann auch nicht einzig auf das später erstellte Gutachten des Dr. med. C.________, Facharzt für Psychiatrie und Psychotherapie, vom 25. Februar 2013 abgestellt werden: Zwar wird in diesem der Versicherten für den entscheidenden Zeitraum eine volle Arbeitsfähigkeit attestiert, dies jedoch nicht aufgrund medizinisch-theoretischer Überlegungen sondern einzig mit der Begründung, dass die Versicherte in dieser Zeit tatsächlich erwerbstätig gewesen sei. Im Widerspruch zu dieser attestierten Arbeitsfähigkeit beantwortete der Experte die Frage, ab wann eine dauerhafte, mindestens 20 %-ige Arbeitsunfähigkeit vorgelegen habe, mit "seit dem Unfallereignis vom xxxx 2009". Für die Frage der Nachhaltigkeit der beruflichen Eingliederung ist somit durch die Aussage des Experten wenig gewonnen. Bei einer solchen Ausgangslage verstösst es nicht gegen Bundesrecht, dass die Vorinstanz zur Prüfung der Frage des Unterbruchs des engen zeitlichen Zusammenhangs nicht einzig auf die ärztlichen Berichte abgestellt hat, sondern eine Gesamtwürdigung der konkreten Umstände der Beschäftigung vorgenommen hat (vgl. auch E. 3.2 hievor).</w:t>
      </w:r>
    </w:p>
    <w:p>
      <w:r>
        <w:rPr>
          <w:b/>
        </w:rPr>
        <w:t>E. 4.3</w:t>
      </w:r>
    </w:p>
    <w:p>
      <w:r>
        <w:t>Wie die Versicherte im Frühjahr 2011 selber ausgeführt hat, hat sie sich nach dem Auszug ihres Ehemannes ab August 2010 an einer neuen Arbeitsstelle in die Arbeit "gestürzt", doch sei sie laut dem Arbeitgeber aufgrund ihrer Ängste zu wenig flexibel einsetzbar gewesen und es sei schliesslich zur Kündigung gekommen. Dass sie bei ihrem Arbeitseinsatz nicht auf ärztlichen Rat hin gehandelt und ein gesundes Mass überschritten hat, wird durch ihren Einsatz 302.25 Stunden alleine im Monat Oktober 2010 belegt. Aus diesem sehr hohen Einsatz während lediglich eines Monats erklärt sich auch der Umstand, dass sie einerseits im hier entscheidenden Zeitraum von August 2010 bis Januar 2011 rechnerisch tatsächlich ein durchschnittliches Pensum von 95 % erreichte, andererseits aber nicht während mindestens drei aufeinanderfolgenden Monaten zu mindestens 80 % arbeitete. Vor diesem Hintergrund erscheint die Verneinung einer nachhaltigen beruflichen Wiedereingliederung durch die Vorinstanz jedenfalls nicht als offensichtlich unrichtig. Alleine aus dem Umstand, dass die Versicherte kurzzeitig zu einem sehr hohen Arbeitseinsatz in der Lage war, kann noch nicht auf eine dauerhafte berufliche Wiedereingliederung geschlossen werden. Entsprechend hat das kantonale Gericht kein Bundesrecht verletzt, als es die Tätigkeit der Versicherten bei der B.________ GmbH nicht als Grund für einen Unterbruch des engen zeitlichen Konnexes zwischen der bereits nach dem xxxx 2009 eingetretenen Arbeitsunfähigkeit und der späteren Invalidität anerkannte. Die Beschwerde der Versicherten ist somit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