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92/2022 vom 9. März 2022</w:t>
      </w:r>
    </w:p>
    <w:p>
      <w:r>
        <w:t>Bundesgericht, 2022-03-09, DE</w:t>
      </w:r>
    </w:p>
    <w:p>
      <w:r>
        <w:rPr>
          <w:b/>
        </w:rPr>
        <w:t xml:space="preserve">Quelle: </w:t>
      </w:r>
      <w:r>
        <w:t>https://mcp.opencaselaw.ch/entscheid/bger_9C_92_2022</w:t>
      </w:r>
    </w:p>
    <w:p>
      <w:r>
        <w:t>FR: TF 9C 92/2022 du 9 mars 2022</w:t>
      </w:r>
    </w:p>
    <w:p>
      <w:r>
        <w:t>IT: TF 9C 92/2022 del 9 marzo 2022</w:t>
      </w:r>
    </w:p>
    <w:p>
      <w:pPr>
        <w:pStyle w:val="Heading2"/>
      </w:pPr>
      <w:r>
        <w:t>Regeste</w:t>
      </w:r>
    </w:p>
    <w:p>
      <w:r>
        <w:t>Alters- und Hinterlassenenversicherung | Alters- und Hinterlassenenversicherung</w:t>
      </w:r>
    </w:p>
    <w:p>
      <w:pPr>
        <w:pStyle w:val="Heading2"/>
      </w:pPr>
      <w:r>
        <w:t>Erwägungen</w:t>
      </w:r>
    </w:p>
    <w:p>
      <w:r>
        <w:rPr>
          <w:b/>
        </w:rPr>
        <w:t>E. 1.1</w:t>
      </w:r>
    </w:p>
    <w:p>
      <w:r>
        <w:t>A.________ beantragt mit Eingabe vom 19. Januar 2022 (Poststempel) zusätzlich Kinderzulagen sowie Pensionskassenbeiträge. Ein Beschwerdewille ist erkennbar. Die Eingabe ist daher als Beschwerde an die Hand zu nehmen.</w:t>
      </w:r>
    </w:p>
    <w:p>
      <w:r>
        <w:rPr>
          <w:b/>
        </w:rPr>
        <w:t>E. 1.2</w:t>
      </w:r>
    </w:p>
    <w:p>
      <w:r>
        <w:t>Das Bundesgericht prüft seine Zuständigkeit und die (weiteren) Eintretensvoraussetzungen von Amtes wegen und mit freier Kognition ( Art. 29 Abs. 1 BGG ; BGE 145 V 57 E. 1; 141 V 206 E. 1.1; je mit Hinweisen).</w:t>
      </w:r>
    </w:p>
    <w:p>
      <w:r>
        <w:rPr>
          <w:b/>
        </w:rPr>
        <w:t>E. 1.2.1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angefochtenen Entscheids massgeblichen Erwägungen der Vorinstanz einzugehen und im Einzelnen aufzuzeigen, welche Vorschriften und weshalb sie von der Vorinstanz verletzt worden sind ( BGE 140 III 264 E. 2.3; 134 V 53 E. 3.3 und 133 IV 286 E. 1.4). Auch von Beschwerde führenden Laien darf erwartet werden, auf die vorinstanzliche Begründung konkret einzugehen.</w:t>
      </w:r>
    </w:p>
    <w:p>
      <w:r>
        <w:rPr>
          <w:b/>
        </w:rPr>
        <w:t>E. 1.2.2</w:t>
      </w:r>
    </w:p>
    <w:p>
      <w:r>
        <w:t>Mit Beschwerde vom 19. Januar 2022 stellt der Beschwerdeführer zwar Anträge, begründet diese aber nicht. So kann der Eingabe nicht entnommen werden, inwiefern die vorinstanzlichen Sachverhaltsfeststellungen unzutreffend und die darauf beruhenden Erwägungen rechtsfehlerhaft sein sollen. Auf die Beschwerde ist daher im vereinfachten Verfahren nach Art. 108 Abs. 1 lit. b und Abs. 2 BGG nicht einzutreten.</w:t>
      </w:r>
    </w:p>
    <w:p>
      <w:r>
        <w:rPr>
          <w:b/>
        </w:rPr>
        <w:t>E. 2</w:t>
      </w:r>
    </w:p>
    <w:p>
      <w:r>
        <w:t>Der Beschwerdeführer ist grundsätzlich kostenpflichtig, indessen wird in Anwendung von Art. 66 Abs. 1 Satz 2 BGG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