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92/2020 vom 17. März 2020</w:t>
      </w:r>
    </w:p>
    <w:p>
      <w:r>
        <w:t>Bundesgericht, 2020-03-17, DE</w:t>
      </w:r>
    </w:p>
    <w:p>
      <w:r>
        <w:rPr>
          <w:b/>
        </w:rPr>
        <w:t xml:space="preserve">Quelle: </w:t>
      </w:r>
      <w:r>
        <w:t>https://mcp.opencaselaw.ch/entscheid/bger_9C_92_2020</w:t>
      </w:r>
    </w:p>
    <w:p>
      <w:r>
        <w:t>FR: TF 9C 92/2020 du 17 mars 2020</w:t>
      </w:r>
    </w:p>
    <w:p>
      <w:r>
        <w:t>IT: TF 9C 92/2020 del 17 marzo 2020</w:t>
      </w:r>
    </w:p>
    <w:p>
      <w:pPr>
        <w:pStyle w:val="Heading2"/>
      </w:pPr>
      <w:r>
        <w:t>Regeste</w:t>
      </w:r>
    </w:p>
    <w:p>
      <w:r>
        <w:t>Invalidenversicherung (Invalidenrente; Neuanmeldung)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Das kantonale Gericht hat die Verordnungsbestimmungen und von der Rechtsprechung entwickelten Grundsätze über das Erfordernis des Glaubhaftmachens einer anspruchsrelevanten Erhöhung des Invaliditätsgrades als Voraussetzung für die umfassende Prüfung einer neuen Anmeldung durch die Organe der Invalidenversicherung zutreffend dargelegt (Art. 87 Abs. 3 in Verbindung mit Abs. 2 IVV [SR 831.201]; BGE 130 V 64 und 71; 117 V 198 ; SVR 2016 IV Nr. 57 S. 188, 9C_367/2016 E. 2 mit Hinweisen; Urteil I 619/04 vom 10. Februar 2005 E. 2.2). Darauf wird verwiesen. Bei der Glaubhaftmachung einer Tatsachenänderung im relevanten Vergleichszeitraum als Beweismass geht es um eine frei überprüfbare Rechtsfrage. Ob der erforderliche Beweisgrad erreicht ist, stellt dagegen eine Tatfrage dar. Diesbezügliche Feststellungen des kantonalen Versicherungsgerichts sind somit für das Bundesgericht grundsätzlich verbindlich (vgl. E. 1 hievor; SVR 2016 IV Nr. 57 S. 188, 9C_367/2016 E. 2.2 mit Hinweisen).</w:t>
      </w:r>
    </w:p>
    <w:p>
      <w:r>
        <w:rPr>
          <w:b/>
        </w:rPr>
        <w:t>E. 3</w:t>
      </w:r>
    </w:p>
    <w:p>
      <w:r>
        <w:t>Prozessthema bildet die Frage, ob die IV-Stelle nach der seinerzeitigen Verneinung eines Rentenanspruchs (Verfügung vom 3. Mai 2016, bestätigt mit Entscheid des Sozialversicherungsgerichts des Kantons Zürich vom 21. September 2016 und Urteil des Bundesgerichts vom 26. Januar 2017) auf die im Dezember 2017 eingereichte Neuanmeldung mit Verfügung vom 24. Januar 2019 zu Recht nicht eingetreten ist.</w:t>
      </w:r>
    </w:p>
    <w:p>
      <w:r>
        <w:rPr>
          <w:b/>
        </w:rPr>
        <w:t>E. 3.1</w:t>
      </w:r>
    </w:p>
    <w:p>
      <w:r>
        <w:t>Die Vorinstanz hält in Übereinstimmung mit der Stellungnahme des Regionalen ärztlichen Dienstes (RAD) vom 23. Januar 2019 fest, dass mit dem nachgereichten Bericht der Dienste C.________ vom 8. August 2018 eine Verschlechterung des Gesundheitszustands seit der rechtskräftigen Rentenverweigerung nicht glaubhaft gemacht worden sei. Im genannten Arztbericht würden die gleichen Diagnosen gestellt, wie sie schon im Bericht der Klinik für Psychiatrie und Psychotherapie am Spital D.________ vom 2. Oktober 2015 bescheinigt worden seien (letzterer wurde bereits im Rahmen der früheren Rentenablehnung durch Verwaltungs- und Gerichtsbehörden einlässlich gewürdigt). Die Angaben zu den Diagnosekriterien für die posttraumatische Belastungsstörung würden sich in den beiden erwähnten Berichten ebenfalls stark ähneln. Soweit im jüngeren Arztbericht ausgeführt werde, der Versicherte leide neu an einer Merkfähigkeits- und Gedächtnisstörung, einem Morgentief, Gedankenkreisen und Grübeln bis hin zu Suizidgedanken sowie einer anhaltenden Müdigkeit, sei darauf hinzuweisen, dass auch diese Symptome bereits im älteren Bericht geschildert worden seien. Überdies sei davon auszugehen, dass es sich hiebei nicht um objektive Untersuchungsbefunde handle, sondern um subjektive Angaben des Beschwerdeführers, welche rechtsprechungsgemäss für sich alleine nicht massgebend sein könnten.</w:t>
      </w:r>
    </w:p>
    <w:p>
      <w:r>
        <w:rPr>
          <w:b/>
        </w:rPr>
        <w:t>E. 3.2</w:t>
      </w:r>
    </w:p>
    <w:p>
      <w:r>
        <w:t>Vorstehende Sachverhaltswürdigung des kantonalen Gerichts ist für das Bundesgericht verbindlich (vgl. E. 1 und 2 hievor). Der Beschwerdeführer macht denn auch nirgends eine willkürliche Beweiswürdigung durch die Vorinstanz geltend, wie sie im Übrigen aufgrund des strengen Rügeprinzips ( Art. 106 Abs. 2 BGG ) klar und detailliert aufzuzeigen gewesen wäre ( BGE 144 V 50 E. 4.2 S. 53 mit Hinweisen). Mit der blossen Erläuterung der eigenen Sicht der Dinge lässt sich jedenfalls keine Willkür dartun. Ebenso wenig kann daraus eine Verletzung von Art. 87 Abs. 3 in Verbindung mit Abs. 2 IVV oder des in diesem Zusammenhang zu beachtenden herabgesetzten Beweismasses ( BGE 130 V 64 E. 5.2 S. 67, 71 E. 2.2 S. 72; SVR 2016 IV Nr. 57 S. 188, 9C_367/2016 E. 2.2 mit Hinweis) abgeleitet werden. Letzterem wurde von der Vorinstanz vollauf Rechnung getragen. Soweit der Beschwerdeführer eine Verletzung von Art. 43 Abs. 1 ATSG geltend macht, übersieht er, dass im Verfahren der Neuanmeldung nach Art. 87 Abs. 2 und 3 IVV der Untersuchungsgrundsatz ( BGE 136 V 376 E. 4.1.1 S. 377; 133 V 196 E. 1.4 S. 200) insofern nicht spielt, als die versicherte Person in Bezug auf das Vorliegen einer glaubhaften Änderung der tatsächlichen Verhältnisse seit der letzten rechtskräftigen Leistungsverweigerung eine Beweisführungslast trifft (SVR 2016 IV Nr. 57 S. 188, 9C_367/2016 E. 2.3 mit Hinweis). Wenn der Versicherte überdies den vorinstanzlich nachgereichten weiteren Bericht der Dienste C.________ vom 5. März 2019 berücksichtigt haben will, verkennt er, dass nach Erlass der streitigen Nichteintretensverfügung vom 24. Januar 2019 datierende Beweismittel, die eine anspruchsbegründende oder -erhöhende Tatsache glaubhaft machen sollen, stets im Wege einer neuen Anmeldung oder eines neuen Revisionsgesuchs vorzubringen sind. Dies gilt unabhängig davon, ob die im anschliessenden erstinstanzlichen Beschwerdeverfahren aufgelegten Beweismittel allenfalls Rückschlüsse hinsichtlich des neuanmeldungsrechtlich relevanten Zeitraums zuliessen ( BGE 130 V 64 E. 5 S. 66; Urteil I 734/05 vom 8. März 2006 E. 3.2).</w:t>
      </w:r>
    </w:p>
    <w:p>
      <w:r>
        <w:rPr>
          <w:b/>
        </w:rPr>
        <w:t>E. 4</w:t>
      </w:r>
    </w:p>
    <w:p>
      <w:r>
        <w:t>Gelang dem Beschwerdeführer nach dem Gesagten die Glaubhaftmachung einer anspruchsrelevanten Verschlechterung des Gesundheitsschadens bis zur Verfügung vom 24. Januar 2019 nicht, muss es mit dem vorinstanzlich bestätigten Nichteintreten auf die Neuanmeldung sein Bewenden haben.</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