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9C_922/2011 vom 29. Mai 2012</w:t>
      </w:r>
    </w:p>
    <w:p>
      <w:r>
        <w:t>Bundesgericht, 2012-05-29, DE</w:t>
      </w:r>
    </w:p>
    <w:p>
      <w:r>
        <w:rPr>
          <w:b/>
        </w:rPr>
        <w:t xml:space="preserve">Quelle: </w:t>
      </w:r>
      <w:r>
        <w:t>https://mcp.opencaselaw.ch/entscheid/bger_9C_922_2011</w:t>
      </w:r>
    </w:p>
    <w:p>
      <w:r>
        <w:t>FR: TF 9C_922/2011 du 29 mai 2012</w:t>
      </w:r>
    </w:p>
    <w:p>
      <w:r>
        <w:t>IT: TF 9C_922/2011 del 29 maggio 2012</w:t>
      </w:r>
    </w:p>
    <w:p>
      <w:pPr>
        <w:pStyle w:val="Heading2"/>
      </w:pPr>
      <w:r>
        <w:t>Erwägungen</w:t>
      </w:r>
    </w:p>
    <w:p>
      <w:r>
        <w:rPr>
          <w:b/>
        </w:rPr>
        <w:t>E. 1</w:t>
      </w:r>
    </w:p>
    <w:p>
      <w:r>
        <w:t>Die Beschwerde in öffentlich-rechtlichen Angelegenheiten kann u.a.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Die unvollständige Sachverhaltsfeststellung entspricht einer Bundesrechtsverletzung (Ulrich Meyer/ Johanna Dormann, in: Basler Kommentar zum Bundesgerichtsgesetz, 2. Aufl. 2011, N. 59 zu Art. 105 BGG ). Keine Frage der Vollständigkeit der Sachverhaltsfeststellung ist, ob im Rahmen einer vorinstanzlich beantworteten Tatfrage erhebliche aktenkundige Tatsachenelemente auch vollständig erfasst worden sind. Eine unvollständige Auswertung der Beweise mit der Folge, dass wesentliche Aussagegehalte nicht in die Beweiswürdigung einfliessen, kann hingegen eine offensichtliche Unrichtigkeit im Sinne von Art. 105 Abs. 2 BGG begründen (Urteil 9C_29/2011 vom 8. Juli 2011 E. 1.2).</w:t>
      </w:r>
    </w:p>
    <w:p>
      <w:r>
        <w:rPr>
          <w:b/>
        </w:rPr>
        <w:t>E. 2</w:t>
      </w:r>
    </w:p>
    <w:p>
      <w:r>
        <w:t>In der vorinstanzlich angefochtenen Verfügung wurde der Invaliditätsgrad nach der gemischten Methode mit einem Anteil der Erwerbstätigkeit von 0,8 (= 80 % des ohne gesundheitliche Beeinträchtigung geleisteten Arbeitspensums als Sozialpädagogin; Art. 28a Abs. 3 IVG ; BGE 125 V 146 E. 2a-c S. 148 ff. in Verbindung mit BGE 130 V 343 ) ermittelt. Demgegenüber ist nach Auffassung der Vorinstanz überwiegend wahrscheinlich davon auszugehen, dass die Versicherte heute bei voller Gesundheit einer vollzeitlichen Erwerbstätigkeit nachgehen würde. Sie hat daher den Invaliditätsgrad nach der allgemeinen Methode des Einkommensvergleichs ( Art. 16 ATSG in Verbindung mit Art. 28a Abs. 1 IVG ) bestimmt, was die Beschwerde führende IV-Stelle als bundesrechtswidrig rügt.</w:t>
      </w:r>
    </w:p>
    <w:p>
      <w:r>
        <w:t>Je nach anwendbarer Invaliditätsbemessungsmethode bzw. Beantwortung der Statusfrage besteht, insoweit unbestritten, Anspruch auf eine Viertelsrente oder eine halbe Rente.</w:t>
      </w:r>
    </w:p>
    <w:p>
      <w:r>
        <w:rPr>
          <w:b/>
        </w:rPr>
        <w:t>E. 3.1.1</w:t>
      </w:r>
    </w:p>
    <w:p>
      <w:r>
        <w:t>Ob eine versicherte Person als ganztägig oder teilzeitlich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3.1.2</w:t>
      </w:r>
    </w:p>
    <w:p>
      <w:r>
        <w:t>Die auf eine Würdigung konkreter Umstände, nicht ausschliesslich auf die allgemeine Lebenserfahrung gestützte Festsetzung des hypothetischen Umfanges der Erwerbstätigkeit ohne gesundheitliche Beeinträchtigung ist eine Tatfrage, welche das Bundesgericht nur eingeschränkt überprüft (E. 1; Urteil 9C_709/2009 vom 14. Dezember 2009 E. 3.2 mit Hinweisen).</w:t>
      </w:r>
    </w:p>
    <w:p>
      <w:r>
        <w:rPr>
          <w:b/>
        </w:rPr>
        <w:t>E. 3.2</w:t>
      </w:r>
    </w:p>
    <w:p>
      <w:r>
        <w:t>Die IV-Stelle weist richtig darauf hin, dass die (anwaltlich vertretene) Beschwerdegegnerin weder im Vorbescheidverfahren noch in der vorinstanzlichen Beschwerde den Status als Teilerwerbstätige mit einem hypothetischen erwerblichen Arbeitspensum von 80 % bestritten hatte. Unter diesen Umständen stellt sich die Frage, ob ihr das kantonale Gericht nicht das rechtliche Gehör hätte gewähren müssen, wenn sie beabsichtigte, von Vollerwerbstätigkeit im Gesundheitsfall auszugehen und damit von der Anwendbarkeit der allgemeinen Einkommensvergleichsmethode (in diesem Sinne Urteil 8C_934/2011 vom 15. März 2011 E. 3 und 4). Dieser Punkt kann indessen offenbleiben.</w:t>
      </w:r>
    </w:p>
    <w:p>
      <w:r>
        <w:rPr>
          <w:b/>
        </w:rPr>
        <w:t>E. 3.3.1</w:t>
      </w:r>
    </w:p>
    <w:p>
      <w:r>
        <w:t>Die vorinstanzliche Feststellung, es sei überwiegend wahrscheinlich davon auszugehen, dass die Versicherte heute einer vollzeitlichen Erwerbstätigkeit nachgehen würde (vorne E. 2), stützt sich auf die Angaben der Beschwerdegegnerin. Im Rahmen der Abklärung der erwerblichen Verhältnisse hatte sie sich dahingehend geäussert, aufgrund des Angebots durch den Arbeitgeber zur Veränderung der Stellenprozente innerhalb des Betriebes habe sie im Mai 2003 das Arbeitspensum von 80 % auf 70 % reduziert, da sie bereits aus gesundheitlichen Gründen mit 80 % an die Belastbarkeitsgrenze gelangt sei. Sie würde heute bei guter Gesundheit, wie bisher, zu 80 % resp. 33,6 Stunden in der Woche als Sozialpädagogin, einschliesslich Nacht- und Wochenenddienst, arbeiten. Sie würde nicht mehr arbeiten, weil diese Arbeit anspruchsvoll sei und sie deshalb auch längere Regenerationszeiten brauche (Fragebogen zur Ermittlung der Erwerbstätigkeit vom 5./12. Juli 2010). Die IV-Stelle war in der vorinstanzlich angefochtenen Verfügung aufgrund derselben Angaben der Versicherten gegenüber dem Abklärungsdienst von einem hypothetischen erwerblichen Arbeitspensum von 80 % ausgegangen.</w:t>
      </w:r>
    </w:p>
    <w:p>
      <w:r>
        <w:rPr>
          <w:b/>
        </w:rPr>
        <w:t>E. 3.3.2</w:t>
      </w:r>
    </w:p>
    <w:p>
      <w:r>
        <w:t>Die Feststellung einer vollzeitlichen Erwerbstätigkeit im Gesundheitsfall beruht einzig auf den subjektiven Angaben der Beschwerdegegnerin gegenüber dem Abklärungsdienst. Ob die übrigen, namentlich auch die medizinischen Akten diese Annahme stützen, hat die Vorinstanz nicht geprüft und insoweit den rechtserheblichen Sachverhalt offensichtlich unrichtig, für das Bundesgericht somit nicht verbindlich festgestellt (vorne E. 1).</w:t>
      </w:r>
    </w:p>
    <w:p>
      <w:r>
        <w:rPr>
          <w:b/>
        </w:rPr>
        <w:t>E. 3.3.2.1</w:t>
      </w:r>
    </w:p>
    <w:p>
      <w:r>
        <w:t>Aus den medizinischen Unterlagen ergibt sich nichts, was den Schluss erlaubte, die Beschwerdegegnerin habe aus gesundheitlichen Gründen bis April 2003 nicht mehr als 80 % gearbeitet. Dr. med. Z.________ erwähnte in seinem Gutachten vom 27. Mai 2010 lediglich, die Explorandin habe ihre ursprünglich 85%ige Anstellung später auf 70 % reduziert. Der behandelnde Psychiater und Psychotherapeut Dr. med. S.________ hielt in seinem Bericht vom 14. September 2010 fest, dass es der Patientin trotz der mehrjährigen sehr schwierigen Phase in der Adoleszenz und im jungen Erwachsenenalter gelungen sei, Boden zu finden, die Ausbildung zur Sozialpädagogin zu bewältigen und fast 20 Jahre erfolgreich in ihrem Beruf zu arbeiten. Dabei sei sie aber nie frei von ihren Beschwerden gewesen. Auf diese Aussage kann indessen nicht ohne weiteres abgestellt werden, da Dr. med. S.________ die Beschwerdegegnerin erst seit November 2008 behandelte.</w:t>
      </w:r>
    </w:p>
    <w:p>
      <w:r>
        <w:rPr>
          <w:b/>
        </w:rPr>
        <w:t>E. 3.3.2.2</w:t>
      </w:r>
    </w:p>
    <w:p>
      <w:r>
        <w:t>Es kommt dazu, dass die (anwaltlich vertretene) Beschwerdegegnerin weder die Feststellung im Vorbescheid und in der Verfügung, sie würde bei vollständiger Gesundheit ihre bisherige Tätigkeit als Sozialpädagogin im Pensum von 80 % ausüben, noch die Anwendung der gemischten Methode bei einem Anteil der Erwerbstätigkeit von 0,8 in Frage stellte. Ihre Einwendungen gegen den Vorbescheid und ihre Vorbringen in der Beschwerde an die Vorinstanz betrafen ausschliesslich den medizinischen Sachverhalt.</w:t>
      </w:r>
    </w:p>
    <w:p>
      <w:r>
        <w:rPr>
          <w:b/>
        </w:rPr>
        <w:t>E. 3.3.3</w:t>
      </w:r>
    </w:p>
    <w:p>
      <w:r>
        <w:t>Unter diesen Umständen ist die Statusfrage in dem Sinne zu beantworten, dass überwiegend wahrscheinlich die Beschwerdegegnerin ohne gesundheitliche Beeinträchtigung als Sozialpädagogin mit einem Arbeitspensum von 80 % tätig wäre. Die Invalidität ist demzufolge in Anwendung der gemischten Methode zu bemessen, was unbestritten ist, ebenso wie die weiteren Bemessungsfaktoren, insbesondere die Arbeitsfähigkeit sowie die Einschränkung im Haushalt gemäss der vorinstanzlich angefochtenen Verfügung vom 7. März 2011. Daraus resultiert ein Invaliditätsgrad von 41 %, was Anspruch auf eine Viertelsrente gibt ( Art. 28 Abs. 2 IVG ).</w:t>
      </w:r>
    </w:p>
    <w:p>
      <w:r>
        <w:t>Die Beschwerde ist begründet.</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