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922/2009 vom 9. Juli 2010</w:t>
      </w:r>
    </w:p>
    <w:p>
      <w:r>
        <w:t>Bundesgericht, 2010-07-09, FR</w:t>
      </w:r>
    </w:p>
    <w:p>
      <w:r>
        <w:rPr>
          <w:b/>
        </w:rPr>
        <w:t xml:space="preserve">Quelle: </w:t>
      </w:r>
      <w:r>
        <w:t>https://mcp.opencaselaw.ch/entscheid/bger_9C_922_2009</w:t>
      </w:r>
    </w:p>
    <w:p>
      <w:r>
        <w:t>FR: TF 9C 922/2009 du 9 juillet 2010</w:t>
      </w:r>
    </w:p>
    <w:p>
      <w:r>
        <w:t>IT: TF 9C 922/2009 del 9 luglio 2010</w:t>
      </w:r>
    </w:p>
    <w:p>
      <w:pPr>
        <w:pStyle w:val="Heading2"/>
      </w:pPr>
      <w:r>
        <w:t>Regeste</w:t>
      </w:r>
    </w:p>
    <w:p>
      <w:r>
        <w:t>Assurance-invalidité | Assurance-invalidité</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 Aucun fait nouveau ni preuve nouvelle ne peut être présenté à moins de résulter de la décision de l'autorité précédente ( art. 99 al. 1 LTF ).</w:t>
      </w:r>
    </w:p>
    <w:p>
      <w:r>
        <w:rPr>
          <w:b/>
        </w:rPr>
        <w:t>E. 1.2</w:t>
      </w:r>
    </w:p>
    <w:p>
      <w:r>
        <w:t>La recourante fait état d'une dégradation spectaculaire de son état de santé par une perte de poids de plus de 65 kilos en l'espace de quelque huit mois seulement. Toutefois, le jugement attaqué du 22 septembre 2009 ne justifie pas pour la première fois de soulever ce moyen et la recourante ne montre pas en quoi les conditions d'une exception à l'interdiction des faits ou moyens de preuve nouveaux selon l' art. 99 al. 1 LTF sont remplies (Ulrich Meyer, in: Niggli/Uebersax/Wiprächtiger, Basler Kommentar zum BGG, Basel 2008, N. 44 à 47 ad Art. 99 BGG; Bernard Corboz, in op. cit., N. 19 ad Art. 99 LTF ). Ce moyen n'est dès lors pas admissible.</w:t>
      </w:r>
    </w:p>
    <w:p>
      <w:r>
        <w:rPr>
          <w:b/>
        </w:rPr>
        <w:t>E. 1.3</w:t>
      </w:r>
    </w:p>
    <w:p>
      <w:r>
        <w:t>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de la vie, il s'agit d'une question de droit qui peut être examinée librement en instance fédérale. Ces principes s'appliquent également en ce qui concerne la question de savoir si la capacité de travail, respectivement l'incapacité de travail, de l'assuré s'est modifiée d'une manière déterminante sous l'angle de la révision au cours d'une certaine période (par exemple arrêts 9C_396/2009 du 12 février 2010, 9C_413/2008 du 14 novembre 2008 et 9C_270/2008 du 12 août 2008).</w:t>
      </w:r>
    </w:p>
    <w:p>
      <w:r>
        <w:rPr>
          <w:b/>
        </w:rPr>
        <w:t>E. 2</w:t>
      </w:r>
    </w:p>
    <w:p>
      <w:r>
        <w:t>Le litige, relatif à la suppression par voie de révision du droit de la recourante à un quart de rente d'invalidité, porte sur le point de savoir si l'état de santé et son incidence sur la capacité de travail et de gain ont subi un changement important, singulièrement a trait à l'exigibilité. Le jugement cantonal expose correctement les règles et principes jurisprudentiels sur la révision du droit à une rente d'invalidité ( art. 17 al. 1 LPGA ; ATF 133 V 108 et 545 consid. 7.1 p. 548, 130 V 343 consid. 3.5 p. 349 s.), la libre appréciation des preuves et les critères jurisprudentiels au regard desquels la valeur probante des rapports médicaux doit s'apprécier ( ATF 125 V 351 consid. 3a p. 352). On peut ainsi y renvoyer.</w:t>
      </w:r>
    </w:p>
    <w:p>
      <w:r>
        <w:rPr>
          <w:b/>
        </w:rPr>
        <w:t>E. 3</w:t>
      </w:r>
    </w:p>
    <w:p>
      <w:r>
        <w:t>Il ressort du jugement attaqué que les diagnostics de syndrome douloureux somatoforme persistant (F45.4) et de trouble dépressif récurrent d'épisode moyen sans syndrome somatique (F33.1) posés par les médecins du COMAI dans leur expertise du 19 février 2002, en raison desquels la recourante a bénéficié de l'octroi d'un quart de rente d'invalidité, n'ont pas été retenus par les experts de la Clinique X.________ dans leur rapport du 12 décembre 2008, qui ont écarté l'existence d'une fibromyalgie et posé les diagnostics de dysthymie et de trouble de la personnalité avec traits immatures et dépendants. Les premiers juges, relevant que les experts du COMAI et de la Clinique X.________ avaient apprécié de façon similaire le taux d'incapacité de travail en le fixant à 40 %, ont constaté une amélioration de l'état de santé de l'assurée sur la base des diagnostics retenus par les experts de la Clinique X.________ et l'existence d'une capacité de travail exigible de 100 % dans un emploi adapté sur la base de l'appréciation du médecin du SMR.</w:t>
      </w:r>
    </w:p>
    <w:p>
      <w:r>
        <w:rPr>
          <w:b/>
        </w:rPr>
        <w:t>E. 3.1</w:t>
      </w:r>
    </w:p>
    <w:p>
      <w:r>
        <w:t>Quoi qu'en dise la recourante, la juridiction cantonale a pris en compte l'expertise psychiatrique du docteur B.________. Même si le rapport de ce médecin du 6 janvier 2009 n'est pas mentionné expressément dans le jugement attaqué, ses conclusions en ce qui concerne les dysthymie et trouble de la personnalité et la diminution de la capacité de travail de 40 % sur le plan psychiatrique figurent sous ch. 7 de l'état de fait du jugement du 22 septembre 2009, telles qu'elles se fondent sur l'examen psychiatrique du 27 novembre 2008 et sont rapportées par le docteur R.________, expert principal, en pages 12 et 13 de l'expertise pluridisciplinaire du 12 décembre 2008.</w:t>
      </w:r>
    </w:p>
    <w:p>
      <w:r>
        <w:rPr>
          <w:b/>
        </w:rPr>
        <w:t>E. 3.2</w:t>
      </w:r>
    </w:p>
    <w:p>
      <w:r>
        <w:t>De l'avis des premiers juges, on voit mal que le diagnostic de dysthymie avec un trouble de la personnalité de type infantile et dépendant puisse justifier une incapacité de travail de 40 %, d'autant moins que les experts ont précisé que l'assurée ne présentait pas de signes de dépression majeure, mais souffrait de la persistance d'une humeur triste et chronique. C'est la raison pour laquelle ils se sont écartés des conclusions des experts de la Clinique X.________ en ce qui concerne la capacité de travail sur le plan psychiatrique. Cela n'est nullement discuté par la recourante, dont le grief de violation du droit d'être entendu n'est pas motivé de manière suffisante pour que le Tribunal fédéral puisse l'examiner ( art. 106 al. 2 LTF ; ATF 135 III 127 consid. 1.6 p. 130 et l'arrêt cité, 134 II 244 consid. 2.2 p. 246).</w:t>
      </w:r>
    </w:p>
    <w:p>
      <w:r>
        <w:rPr>
          <w:b/>
        </w:rPr>
        <w:t>E. 3.3</w:t>
      </w:r>
    </w:p>
    <w:p>
      <w:r>
        <w:t>La constatation d'une amélioration de l'état de santé de l'assurée sur la base des diagnostics retenus par les experts de la Clinique X.________ et de l'existence d'une capacité de travail exigible de 100 % dans un emploi adapté sur la base de l'appréciation du médecin du SMR n'apparaît pas manifestement inexacte. La recourante ne cherche même pas, par une argumentation spécifique, à démontrer le contraire. Ainsi, dans ses lettres des 10 mars et 22 avril 2009, le docteur U.________ n'a fait état d'aucun élément objectivement vérifiable qui aurait été ignoré dans le cadre de l'expertise pluridisciplinaire du 12 décembre 2008 et de l'avis médical SMR du 26 janvier 2009 et qui soit suffisamment pertinent pour remettre en cause l'appréciation du médecin du SMR (arrêt I 514/06 du 25 mai 2007 consid. 2.2.1, in SVR 2008 IV Nr. 15 p. 43).</w:t>
      </w:r>
    </w:p>
    <w:p>
      <w:r>
        <w:rPr>
          <w:b/>
        </w:rPr>
        <w:t>E. 3.4</w:t>
      </w:r>
    </w:p>
    <w:p>
      <w:r>
        <w:t>Le jugement attaqué, qui constate que les conditions étaient réunies pour supprimer le droit de la recourante à un quart de rente d'invalidité par la voie de la révision, est ainsi conforme au droit fédéral (supra, consid. 2).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 Sa demande d'assistance judiciaire a été rejetée par ordonnance du 17 novembre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