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9C_920/2013 vom 20. Mai 2014</w:t>
      </w:r>
    </w:p>
    <w:p>
      <w:r>
        <w:t>Bundesgericht, 2014-05-20, FR</w:t>
      </w:r>
    </w:p>
    <w:p>
      <w:r>
        <w:rPr>
          <w:b/>
        </w:rPr>
        <w:t xml:space="preserve">Quelle: </w:t>
      </w:r>
      <w:r>
        <w:t>https://mcp.opencaselaw.ch/entscheid/bger_9C_920_2013</w:t>
      </w:r>
    </w:p>
    <w:p>
      <w:r>
        <w:t>FR: TF 9C_920/2013 du 20 mai 2014</w:t>
      </w:r>
    </w:p>
    <w:p>
      <w:r>
        <w:t>IT: TF 9C_920/2013 del 20 maggio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le plan formel, le recourant invoque une violation de son droit d'être entendu pour défaut de motivation du jugement attaqué, en tant que celui-ci ne tiendrait pas compte des nombreux rapports médicaux établis par ses médecins traitants attestant de son incapacité de travailler et n'examinerait pas les chances réelles qu'il avait de retrouver un emploi sur un marché équilibré du travail et l'opportunité de l'octroi de mesures d'ordre professionnel.</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w:t>
      </w:r>
    </w:p>
    <w:p>
      <w:r>
        <w:t>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2.2</w:t>
      </w:r>
    </w:p>
    <w:p>
      <w:r>
        <w:t>Pour autant qu'il puisse être considéré comme suffisamment motivé au sens de l' art. 106 al. 2 LTF , le grief de violation du droit d'être entendu pour défaut de motivation de la décision attaquée n'est pas fondé en l'espèce. La motivation du jugement entrepris permet en effet de comprendre les éléments qui ont été retenus et pourquoi ils l'ont été. On ne saurait dès lors faire grief au Tribunal administratif fédéral d'avoir violé le droit d'être entendu du recourant. En réalité, en tant qu'il lui est reproché d'avoir ignoré plusieurs moyens de preuve ou faits importants, les griefs se confondent avec ceux d'arbitraire dans la constatation des faits et l'appréciation des preuves ou de violation du droit, et doivent être examinés sous ces divers angles.</w:t>
      </w:r>
    </w:p>
    <w:p>
      <w:r>
        <w:rPr>
          <w:b/>
        </w:rPr>
        <w:t>E. 3</w:t>
      </w:r>
    </w:p>
    <w:p>
      <w:r>
        <w:t>Le litige a pour objet en premier lieu le point de savoir si l'invalidité du recourant s'est modifiée - de manière à influencer son droit à la rente - entre le 21 octobre 1994, date de la décision initiale par laquelle cette prestation lui a été accordée, et le 27 septembre 2012, date de la décision litigieuse.</w:t>
      </w:r>
    </w:p>
    <w:p>
      <w:r>
        <w:rPr>
          <w:b/>
        </w:rPr>
        <w:t>E. 3.1</w:t>
      </w:r>
    </w:p>
    <w:p>
      <w:r>
        <w:t>Le jugement entrepris expose correctement les dispositions légales et les principes jurisprudentiels applicables en matière d'évaluation de l'invalidité et de révision de la rente, de sorte qu'il suffit d'y renvoyer.</w:t>
      </w:r>
    </w:p>
    <w:p>
      <w:r>
        <w:rPr>
          <w:b/>
        </w:rPr>
        <w:t>E. 3.2</w:t>
      </w:r>
    </w:p>
    <w:p>
      <w:r>
        <w:t>Se fondant sur les conclusions des rapports d'expertise établis par la Clinique I.________ (pour le volet somatique) et par le docteur C.________ (pour le volet psychiatrique), le Tribunal administratif fédéral a considéré que l'état de santé du recourant était resté stationnaire sur le plan somatique et s'était nettement amélioré sur le plan psychique depuis l'octroi de la rente en 1994, si bien qu'il présentait depuis le mois de juin au moins (soit six mois après le premier projet de décision de suppression de rente du 18 décembre 2009) une pleine capacité de travail dans une activité adaptée.</w:t>
      </w:r>
    </w:p>
    <w:p>
      <w:r>
        <w:rPr>
          <w:b/>
        </w:rPr>
        <w:t>E. 3.3</w:t>
      </w:r>
    </w:p>
    <w:p>
      <w:r>
        <w:t>Le recourant reproche principalement au Tribunal administratif fédéral d'avoir procédé à une constatation manifestement inexacte des faits pertinents consécutive à une mauvaise appréciation des preuves et d'avoir violé le droit fédéral en considérant que son état de santé s'était amélioré. L'appréciation des premiers juges ne tenait pas compte des rapports médicaux établis par ses médecins traitants, les docteurs D.________ (rapports des 7 janvier 2010, 15 février 2010 et 25 juin 2012), K.________ (rapports des 12 février 2010 et 28 juin 2012) et E.________ (rapport du 30 juin 2012), documents desquels il ressortait que les atteintes à la santé tant physique que psychique ne s'étaient pas améliorées et qu'il n'était pas en mesure d'exercer la moindre activité lucrative.</w:t>
      </w:r>
    </w:p>
    <w:p>
      <w:r>
        <w:rPr>
          <w:b/>
        </w:rPr>
        <w:t>E. 3.4</w:t>
      </w:r>
    </w:p>
    <w:p>
      <w:r>
        <w:t>Les considérations développées par le recourant à l'appui de son recours ne sont pas de nature à faire apparaître l'état de fait retenu par le Tribunal administratif fédéral comme étant manifestement inexact ou incomplet, ou encore établi au mépris de règles essentielles de procédure.</w:t>
      </w:r>
    </w:p>
    <w:p>
      <w:r>
        <w:rPr>
          <w:b/>
        </w:rPr>
        <w:t>E. 3.4.1</w:t>
      </w:r>
    </w:p>
    <w:p>
      <w:r>
        <w:t>Certes, le jugement attaqué ne fait pas mention des divers rapports médicaux versés par le recourant au cours de la procédure. Celui-ci ne tente toutefois pas d'établir que le point de vue de ses médecins traitants justifierait de s'écarter de celui des experts de la Clinique I.________ ou du docteur C.________ et de retenir une capacité de travail différente. Au vu de la divergence consacrée par la jurisprudence entre "mandat thérapeutique" et "mandat d'expertise" ( ATF 124 I 170 consid. 4 p. 175; arrêt I 514/06 du 25 mai 2007 consid. 2.2.1, in SVR 2008 IV n° 15 p. 43), on ne saurait remettre en cause une expertise ordonnée par l'administration ou un juge et procéder à de nouvelles investigations du seul fait qu'un ou plusieurs médecins traitants ont une opinion différente et contradictoire. Il ne peut en aller autrement que si ces médecins font état d'éléments objectivement vérifiables ayant été ignorés dans le cadre de l'expertise et qui sont suffisamment pertinents pour remettre en cause les conclusions des experts. En l'occurrence, le recourant ne fait état d'aucun élément précis qui justifierait, d'un point de vue médical, d'envisager la situation selon une perspective différente. Il ne cherche nullement à démontrer que les expertises mises en oeuvre par l'intimé comporteraient des contradictions manifestes ou ignorerait des éléments cliniques ou diagnostiques essentiels, et encore moins à expliquer en quoi le point de vue de ses médecins traitants serait objectivement mieux fondé que celui des experts ou justifierait la mise en oeuvre d'un complément d'instruction.</w:t>
      </w:r>
    </w:p>
    <w:p>
      <w:r>
        <w:rPr>
          <w:b/>
        </w:rPr>
        <w:t>E. 3.4.2</w:t>
      </w:r>
    </w:p>
    <w:p>
      <w:r>
        <w:t>A l'époque où la rente d'invalidité a été allouée, le recourant souffrait d'une combinaison de troubles somatiques et psychiques qui rendaient l'exercice d'une activité lucrative impossible (rapport du docteur F.________ du 1</w:t>
      </w:r>
    </w:p>
    <w:p>
      <w:r>
        <w:t>er mars 1993; rapport d'observation professionnelle du Centre L.________ du 31 janvier 1994; rapport d'évaluation professionnelle [réentraînement au travail] de la Fondation M.________ du 28 mars 1995). Depuis lors, la situation médicale s'est indéniablement modifiée, ainsi que cela ressort des expertises établies par la Clinique I.________ et le docteur C.________. Sur le plan somatique, la Clinique I.________ a estimé, sur la base de l'examen clinique et des radiographies de la colonne lombaire et cervicale qu'elle a fait réaliser, que les atteintes présentes n'empêchaient pas le recourant d'exercer une activité adaptée à ses limitations fonctionnelles (alternance des positions assis-debout; pas de longs déplacements; pas de port de charges au-delà de 10 kilos; pas de travaux lourds). Sur le plan psychiatrique, aussi bien le docteur G.________ que le docteur C.________ ont constaté que le recourant ne présentait pas les symptômes objectifs et typiques d'une dépression grave, constatations qui étaient propres à mettre en doute la permanence et la gravité de la symptomatologie attestée par les médecins traitants du recourant, doute par ailleurs corroboré par le suivi médical relativement peu intensif dont il faisait l'objet auprès de la doctoresse H.________ (55 consultations entre le 18 novembre 1999 et le 9 novembre 2010). Malgré l'apparition d'une nouvelle problématique de nature somatique (syndrome rotulien bilatéral), c'est sans arbitraire que les premiers juges pouvaient conclure, eu égard à l'amendement des troubles psychiques attesté par les docteurs G.________ et C.________, que l'état de santé général du recourant s'était objectivement amélioré et lui permettait d'exercer une activité lucrative à plein temps dans une activité adaptée à ses limitations fonctionnelles.</w:t>
      </w:r>
    </w:p>
    <w:p>
      <w:r>
        <w:rPr>
          <w:b/>
        </w:rPr>
        <w:t>E. 3.5</w:t>
      </w:r>
    </w:p>
    <w:p>
      <w:r>
        <w:t>Contrairement à ce que soutient le recourant, il n'y a pas lieu de considérer que les règles de la coopération administrative internationale auraient été violées dans le cas d'espèce. Les règles de coordination du droit européen en matière de sécurité sociale - ainsi que les dispositions d'application qui en découlent - ne limitent pas la liberté des Etats d'aménager de façon autonome leur système de sécurité sociale. Si l'institution compétente dispose de la possibilité de s'adresser à l'institution du lieu de séjour ou de résidence du bénéficiaire de prestations, il n'existe pas de règle qui obligerait d'interpeller préalablement cette dernière institution avant de procéder à tout autre acte d'instruction (jusqu'au 31 mars 2012: art. 87 du Règlement (CEE) n° 1408/71 du Conseil du 14 juin 1971 relatif à l'application des régimes de sécurité sociale aux travailleurs salariés, aux travailleurs non salariés et aux membres de leur famille qui se déplacent à l'intérieur de la Communauté et art. 51 du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dès le 1er avril 2012: art. 82 du règlement [CE] n° 883/2004 du Parlement européen et du Conseil du 29 avril 2004 portant sur la coordination des systèmes de sécurité sociale et art. 87 du règlement [CE] n° 987/2009 du Parlement européen et du Conseil du 16 septembre 2009 fixant les modalités d'application du règlement [CE] n° 883/2004 portant sur la coordination des systèmes de sécurité sociale). Dès lors qu'il est admis que le droit aux prestations doit être établi d'après la législation de l'Etat membre compétent, les faits d'ordre médical qui doivent être élucidés, les exigence en matière de preuve ou encore les moyens admis pour établir cette preuve sont définis par cette législation. Toute autre manière d'envisager les choses serait sinon incompatible avec le principe d'égalité de traitement entre les assurés (arrêt 9C_952/2011 du 7 novembre 2012 consid. 2.4).</w:t>
      </w:r>
    </w:p>
    <w:p>
      <w:r>
        <w:rPr>
          <w:b/>
        </w:rPr>
        <w:t>E. 4</w:t>
      </w:r>
    </w:p>
    <w:p>
      <w:r>
        <w:t>Il convient dans un second temps d'examiner la question de savoir si le recourant est en mesure de réintégrer le monde de travail et, le cas échéant, s'il peut prétendre à des mesures d'ordre professionnel afin de faciliter sa réintégration.</w:t>
      </w:r>
    </w:p>
    <w:p>
      <w:r>
        <w:rPr>
          <w:b/>
        </w:rPr>
        <w:t>E. 4.1</w:t>
      </w:r>
    </w:p>
    <w:p>
      <w:r>
        <w:t>Le Tribunal administratif fédéral a estimé que le recourant ne remplissait pas les conditions pour pouvoir bénéficier de mesures d'ordre professionnel. Même si le recourant avait bénéficié d'une rente pendant plus de quinze ans, on pouvait exiger de celui-ci qu'il se réadapte par soi-même, une phase d'aide transitoire n'apparaissant nullement nécessaire. Que ce soit en Suisse ou au Portugal, le marché du travail lui permettait de mettre à profit sa capacité de travail, étant admis qu'un grand nombre d'activités étaient adaptées à ses limitations fonctionnelles.</w:t>
      </w:r>
    </w:p>
    <w:p>
      <w:r>
        <w:rPr>
          <w:b/>
        </w:rPr>
        <w:t>E. 4.2</w:t>
      </w:r>
    </w:p>
    <w:p>
      <w:r>
        <w:t>En substance, le recourant reproche au Tribunal administratif fédéral de n'avoir pas examiné concrètement la question de savoir s'il était en mesure de mettre à profit sa capacité de gain sur le marché du travail et ni expliqué les raisons pour lesquelles l'octroi de mesures d'ordre professionnel n'apparaissait pas nécessaire. De nombreux éléments au dossier démontraient pourtant qu'il n'était plus en mesure de mettre à profit sa capacité de travail sur le marché équilibré de l'emploi et qu'une réinsertion professionnelle relevait de l'utopie, compte tenu des circonstances objectives et subjectives du cas d'espèce.</w:t>
      </w:r>
    </w:p>
    <w:p>
      <w:r>
        <w:rPr>
          <w:b/>
        </w:rPr>
        <w:t>E. 4.3</w:t>
      </w:r>
    </w:p>
    <w:p>
      <w:r>
        <w:t>En considérant que l'exercice d'une activité lucrative était en l'espèce exigible, le Tribunal administratif fédéral n'a, contrairement à ce que soutient le recourant, pas méconnu la notion d'exigibilité. Sur le plan strictement médical, il n'existe aucun élément objectif qui laisserait à penser qu'il ne serait pas en mesure d'exercer une activité lucrative adaptée à ses limitations fonctionnelles. Sur le plan personnel et professionnel, la mise en valeur de la capacité résiduelle de travail du recourant dans une activité adaptée apparaît également exigible. Âgé de 44 ans au moment où il a été constaté que l'exercice d'une activité lucrative était médicalement exigible (voir ATF 138 V 457 consid. 3.4 p. 462), il n'avait pas encore atteint l'âge à partir duquel la jurisprudence considère généralement qu'il n'existe plus de possibilité réaliste de mise en valeur de la capacité résiduelle de travail sur un marché du travail supposé équilibré. Si l'âge actuel du recourant, les restrictions induites par ses limitations fonctionnelles ou encore son manque de formation peuvent limiter dans une certaine mesure les possibilités de retrouver un emploi, on ne saurait considérer qu'ils rendent cette perspective illusoire, étant précisé que la situation concrète et actuelle du marché de l'emploi (suisse ou portugais) ne joue aucun rôle dans le présent contexte. Il n'est par ailleurs pas arbitraire d'affirmer que le marché du travail offre un large éventail d'activités légères, dont on doit convenir qu'un nombre important sont adaptées aux limitations du recourant et accessibles sans formation particulière si ce n'est une mise au courant initiale.</w:t>
      </w:r>
    </w:p>
    <w:p>
      <w:r>
        <w:rPr>
          <w:b/>
        </w:rPr>
        <w:t>E. 4.4</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(arrêt 9C_163/2009 du 10 septembre 2010 consid. 4.2.2 et les références,</w:t>
      </w:r>
    </w:p>
    <w:p>
      <w:r>
        <w:t>in SVR 2011 IV n° 30 p. 86; voir également arrêt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w:t>
      </w:r>
    </w:p>
    <w:p>
      <w:r>
        <w:t>in SVR 2011 IV n° 73 p. 220; voir également arrêt 9C_254/2011 du 15 novembre 2011 consid. 7).</w:t>
      </w:r>
    </w:p>
    <w:p>
      <w:r>
        <w:rPr>
          <w:b/>
        </w:rPr>
        <w:t>E. 4.5</w:t>
      </w:r>
    </w:p>
    <w:p>
      <w:r>
        <w:t>Dès lors que le recourant a bénéficié d'une rente d'invalidité durant plus de quinze ans (du 1</w:t>
      </w:r>
    </w:p>
    <w:p>
      <w:r>
        <w:t>er décembre 1992 au 31 décembre 2010), il appartient à cette catégorie d'assurés dont il convient de présumer qu'ils ne peuvent en principe pas entreprendre de leur propre chef tout ce que l'on peut raisonnablement attendre d'eux pour tirer profit de leur capacité résiduelle de travail. Il ressort du dossier que l'office intimé n'a pas examiné la question de l'octroi éventuel de mesures d'accompagnement à la réintégration professionnelle. Les arguments stéréotypés invoqués par le Tribunal administratif fédéral pour nier un tel droit ne relèvent quant à eux pas d'un examen concret de la situation du recourant. En l'état du dossier, il n'apparaît guère concevable que le recourant puisse, compte tenu de son éloignement prolongé du marché du travail, reprendre du jour au lendemain une activité lucrative sans que ne soit mises préalablement en oeuvre des mesures destinées à l'aider à se réinsérer dans le monde du travail. Il convient par conséquent de renvoyer le dossier à l'office intimé afin qu'il examine concrètement les besoins objectifs du recourant à ce propos. Ce n'est qu'à l'issue de cet examen et de la mise en oeuvre d'éventuelles mesures de réintégration sur le marché du travail que l'office intimé pourra définitivement statuer sur la révision de la rente d'invalidité et, le cas échéant, supprimer le droit à la rente (voir arrêt 9C_163/2009 précité consid. 4.1.1 et les références).</w:t>
      </w:r>
    </w:p>
    <w:p>
      <w:r>
        <w:rPr>
          <w:b/>
        </w:rPr>
        <w:t>E. 5</w:t>
      </w:r>
    </w:p>
    <w:p>
      <w:r>
        <w:t>Le recours se révèle donc bien fondé. Vu l'issue du litige, les frais de justice seront supportés par l'office intimé qui succombe ( art. 66 al. 1 LTF ). Celui-ci versera par ailleurs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