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9C_91/2021 vom 5. Februar 2021</w:t>
      </w:r>
    </w:p>
    <w:p>
      <w:r>
        <w:t>Bundesgericht, 2021-02-05, FR</w:t>
      </w:r>
    </w:p>
    <w:p>
      <w:r>
        <w:rPr>
          <w:b/>
        </w:rPr>
        <w:t xml:space="preserve">Quelle: </w:t>
      </w:r>
      <w:r>
        <w:t>https://mcp.opencaselaw.ch/entscheid/bger_9C_91_2021</w:t>
      </w:r>
    </w:p>
    <w:p>
      <w:r>
        <w:t>FR: TF 9C_91/2021 du 5 février 2021</w:t>
      </w:r>
    </w:p>
    <w:p>
      <w:r>
        <w:t>IT: TF 9C_91/2021 del 5 febbraio 2021</w:t>
      </w:r>
    </w:p>
    <w:p>
      <w:pPr>
        <w:pStyle w:val="Heading2"/>
      </w:pPr>
      <w:r>
        <w:t>Volltext</w:t>
      </w:r>
    </w:p>
    <w:p>
      <w:r>
        <w:t>Bundesgericht</w:t>
      </w:r>
    </w:p>
    <w:p>
      <w:r>
        <w:t>Tribunal fédéral</w:t>
      </w:r>
    </w:p>
    <w:p>
      <w:r>
        <w:t>Tribunale federale</w:t>
      </w:r>
    </w:p>
    <w:p>
      <w:r>
        <w:t>Tribunal federal</w:t>
      </w:r>
    </w:p>
    <w:p>
      <w:r>
        <w:t>9C_91/2021</w:t>
      </w:r>
    </w:p>
    <w:p>
      <w:r>
        <w:t>Arrêt du 5 février 2021</w:t>
      </w:r>
    </w:p>
    <w:p>
      <w:r>
        <w:t>IIe Cour de droit social</w:t>
      </w:r>
    </w:p>
    <w:p>
      <w:r>
        <w:t>Composition</w:t>
      </w:r>
    </w:p>
    <w:p>
      <w:r>
        <w:t>M. le Juge fédéral Parrino, Président.</w:t>
      </w:r>
    </w:p>
    <w:p>
      <w:r>
        <w:t>Greffier : M. Cretton.</w:t>
      </w:r>
    </w:p>
    <w:p>
      <w:r>
        <w:t>Participants à la procédure</w:t>
      </w:r>
    </w:p>
    <w:p>
      <w:r>
        <w:t>A.________,</w:t>
      </w:r>
    </w:p>
    <w:p>
      <w:r>
        <w:t>représenté par Me Anne Meier, avocat,</w:t>
      </w:r>
    </w:p>
    <w:p>
      <w:r>
        <w:t>recourant,</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le jugement du Tribunal administratif fédéral, Cour III, du 15 décembre 2020 (C-759/2017).</w:t>
      </w:r>
    </w:p>
    <w:p>
      <w:r>
        <w:t>Considérant :</w:t>
      </w:r>
    </w:p>
    <w:p>
      <w:r>
        <w:t>que par décision du 4 janvier 2017, l'Office de l'assurance-invalidité pour les assurés résidant à l'étranger (ci-après: l'office AI) a admis que A.________ présentait une incapacité totale de travail dans le circuit économique libre depuis 2007, voire depuis 2005-2006, correspondant à un taux d'invalidité de 100 % dès le premier jour du mois ayant suivi ses dix-huit ans, soit dès le 1er août 2008, mais lui a dénié le droit à une rente ordinaire ainsi qu'à une rente extraordinaire dans la mesure où il ne remplissait pas les conditions d'assurance,</w:t>
      </w:r>
    </w:p>
    <w:p>
      <w:r>
        <w:t>que par jugement du 15 décembre 2020, le Tribunal administratif fédéral, Cour III, a partiellement admis le recours formé par l'assuré contre la décision du 4 janvier 2017, annulé cette décision et renvoyé la cause à l'office AI pour instruction complémentaire (sous forme d'expertise médicale pluridisciplinaire) et nouvelle décision,</w:t>
      </w:r>
    </w:p>
    <w:p>
      <w:r>
        <w:t>que par la voie d'un recours en matière de droit public, A.________ requiert l'annulation de ce jugement en tant qu'il renvoie la cause à l'administration pour instruction complémentaire et nouvelle décision et conclut, principalement, à la reconnaissance de son droit à une rente entière d'invalidité depuis le 1er juin 2013 ou, subsidiairement, au renvoi de la cause à l'autorité judiciaire précédente pour qu'elle procède elle-même aux investigations nécessaires et rende une décision définitive le plus rapidement possible,</w:t>
      </w:r>
    </w:p>
    <w:p>
      <w:r>
        <w:t>que selon l' art. 108 al. 1 let. a LTF , le président de la cour décide en procédure simplifiée de ne pas entrer en matière sur les recours manifestement irrecevables,</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le jugement entrepris ne met pas fin à la procédure (au sens de l' art. 90 LTF ) dès lors qu'il renvoie la cause à l'office intimé pour qu'il complète ses investigations médicales en réalisant une expertise pluridisciplinaire et rende une nouvelle décision,</w:t>
      </w:r>
    </w:p>
    <w:p>
      <w:r>
        <w:t>que l'acte attaqué a été notifié séparément,</w:t>
      </w:r>
    </w:p>
    <w:p>
      <w:r>
        <w:t>qu'il ne porte de toute évidence pas sur une question de compétence ni sur une demande de récusation,</w:t>
      </w:r>
    </w:p>
    <w:p>
      <w:r>
        <w:t>qu'il s'agit dès lors d'une décision incidente au sens de l' art. 93 al. 1 LTF (cf. ATF 133 V 477 consid. 4.2 p. 481),</w:t>
      </w:r>
    </w:p>
    <w:p>
      <w:r>
        <w:t>que, contrairement à ce que soutient le recourant, l'éventuelle admission du recours ne permettrait pas d'éviter une procédure probatoire longue et coûteuse ( art. 93 al. 1 let. b LTF ),</w:t>
      </w:r>
    </w:p>
    <w:p>
      <w:r>
        <w:t>qu'en effet, le renvoi du dossier à l'administration pour instruction complémentaire et nouvelle décision, comme en l'occurrence, ne se confond en général pas avec une telle procédure (cf. ATF 133 V 477 consid. 5.2 p. 483),</w:t>
      </w:r>
    </w:p>
    <w:p>
      <w:r>
        <w:t>que, par conséquent, le recours n'est recevable que pour autant que le jugement du 15 décembre 2020 cause au recourant un dommage irréparable ( art. 93 al. 1 let. a LTF ),</w:t>
      </w:r>
    </w:p>
    <w:p>
      <w:r>
        <w:t>qu'il appartient à la partie recourante d'alléguer et d'établir le préjudice irréparable (cf. ATF 134 III 426 consid. 1.2 i. f. p. 428 ss et les références), à moins que ce dernier ne fasse d'emblée aucun doute (cf. arrêt 8C_271/2017 du 10 mai 2017 consid. 2.1 et les références),</w:t>
      </w:r>
    </w:p>
    <w:p>
      <w:r>
        <w:t>qu'un préjudice ne peut être qualifié d'irréparable au sens de l' art. 93 al. 1 let. a LTF que s'il cause un inconvénient de nature juridique tel qu'une décision finale, même favorable à la partie recourante, ne le ferait pas disparaître entièrement ( ATF 142 III 798 consid. 2.2 p. 800 s.),</w:t>
      </w:r>
    </w:p>
    <w:p>
      <w:r>
        <w:t>que le recourant invoque à cet égard une nouvelle prolongation de la procédure, dont il est prévisible qu'elle dure à nouveau plusieurs années,</w:t>
      </w:r>
    </w:p>
    <w:p>
      <w:r>
        <w:t>qu'un dommage économique ou de pur fait, tel que l'accroissement des frais de la procédure ou la prolongation de celle-ci, n'est pas considéré comme un préjudice irréparable ( ATF 142 III 798 consid. 2.2 p. 800 s.),</w:t>
      </w:r>
    </w:p>
    <w:p>
      <w:r>
        <w:t>que le recours doit dès lors être déclaré irrecevable,</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5 février 2021</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