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9C_91/2010 vom 2. Juli 2010</w:t>
      </w:r>
    </w:p>
    <w:p>
      <w:r>
        <w:t>Bundesgericht, 2010-07-02, FR</w:t>
      </w:r>
    </w:p>
    <w:p>
      <w:r>
        <w:rPr>
          <w:b/>
        </w:rPr>
        <w:t xml:space="preserve">Quelle: </w:t>
      </w:r>
      <w:r>
        <w:t>https://mcp.opencaselaw.ch/entscheid/bger_9C_91_2010</w:t>
      </w:r>
    </w:p>
    <w:p>
      <w:r>
        <w:t>FR: TF 9C_91/2010 du 2 juillet 2010</w:t>
      </w:r>
    </w:p>
    <w:p>
      <w:r>
        <w:t>IT: TF 9C_91/2010 del 2 luglio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la suppression, par voie de révision, du droit de l'assurée à une rente entière d'invalidité et son remplacement par un trois quarts de rente à compter du 1er novembre 2008.</w:t>
      </w:r>
    </w:p>
    <w:p>
      <w:r>
        <w:rPr>
          <w:b/>
        </w:rPr>
        <w:t>E. 2.1</w:t>
      </w:r>
    </w:p>
    <w:p>
      <w:r>
        <w:t>La juridiction cantonale a considéré que le degré d'invalidité global présenté par l'assurée à compter de cette date donnait toujours droit à une rente entière d'invalidité. En effet, si l'assurée avait été en bonne santé, elle aurait continué à consacrer 80 % de son temps à l'exercice de son activité professionnelle et le reste à l'accomplissement de ses travaux habituels. D'après les renseignements médicaux versés au dossier, elle présentait désormais une capacité résiduelle de travail de 50 % et une perte de gain de 75 %. Compte tenu également d'une entrave de 40 % dans l'accomplissement des travaux habituels, on parvenait à un taux d'invalidité global de 83 % (75 % + [0,2 x 40 %]).</w:t>
      </w:r>
    </w:p>
    <w:p>
      <w:r>
        <w:rPr>
          <w:b/>
        </w:rPr>
        <w:t>E. 2.2</w:t>
      </w:r>
    </w:p>
    <w:p>
      <w:r>
        <w:t>L'office AI reproche aux premiers juges d'avoir évalué de manière erronée le degré d'invalidité de l'assurée pour la part que celle-ci consacre à l'exercice d'une activité lucrative, singulièrement d'avoir calculé la perte de gain de l'assurée d'une manière qui ne serait pas conforme à la méthode ordinaire de comparaison des revenus.</w:t>
      </w:r>
    </w:p>
    <w:p>
      <w:r>
        <w:rPr>
          <w:b/>
        </w:rPr>
        <w:t>E. 3.1</w:t>
      </w:r>
    </w:p>
    <w:p>
      <w:r>
        <w:t>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 art. 28a al. 3 LAI en corrélation avec l' art. 27bis RAI , ainsi que les art. 16 LPGA et 28a al. 2 LAI en corrélation avec les art. 27 RAI et 8 al. 3 LPGA).</w:t>
      </w:r>
    </w:p>
    <w:p>
      <w:r>
        <w:rPr>
          <w:b/>
        </w:rPr>
        <w:t>E. 3.2</w:t>
      </w:r>
    </w:p>
    <w:p>
      <w:r>
        <w:t>Ainsi, l'invalidité des assurés pour la part qu'ils consacrent à leur activité lucrative doit être évaluée selon la méthode ordinaire de comparaison des revenus ( art. 28a al. 3 LAI en corrélation avec l' art. 16 LPGA ).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sans invalidité).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ATF 125 V 146 consid. 5c/bb p. 157) - est comparé au gain hypothétique qu'elle pourrait obtenir sur un marché équilibré du travail en mettant pleinement à profit sa capacité résiduelle dans un emploi adapté à son handicap ( ATF 125 V 146 consid. 5a p. 154).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9C_713/2007 du 8 août 2008 consid. 3.2).</w:t>
      </w:r>
    </w:p>
    <w:p>
      <w:r>
        <w:rPr>
          <w:b/>
        </w:rPr>
        <w:t>E. 4.1</w:t>
      </w:r>
    </w:p>
    <w:p>
      <w:r>
        <w:t>Pour fixer le revenu d'invalide de l'assurée, les premiers juges se sont fondés sur les données statistiques résultant de l'Enquête suisse sur la structure des salaires publiée par l'Office fédéral de la statistique. Le salaire de référence retenu s'élevait à 50'278 fr. Ce montant a été réduit afin de tenir compte de la capacité résiduelle de travail de l'assurée (50 %) et pondéré par son taux d'occupation (80 %), puis a encore fait l'objet d'un abattement de 15 % afin de tenir compte des circonstances personnelles et professionnelles du cas particulier (cf. ATF 126 V 75 consid. 5. p. 78), pour aboutir en fin de compte au montant de 17'095 fr.</w:t>
      </w:r>
    </w:p>
    <w:p>
      <w:r>
        <w:rPr>
          <w:b/>
        </w:rPr>
        <w:t>E. 4.2</w:t>
      </w:r>
    </w:p>
    <w:p>
      <w:r>
        <w:t>Le raisonnement adopté par la juridiction cantonale n'est pas conforme au droit fédéral. Dans la mesure où le revenu d'invalide doit correspondre au gain hypothétique que la personne assurée pourrait obtenir sur un marché équilibré du travail en mettant pleinement à profit sa capacité résiduelle de travail dans un emploi adapté à son handicap, il n'y a pas de place pour une pondération du revenu d'invalide avec son taux d'activité professionnelle. Il n'appartient en effet pas à l'assurance-invalidité de prendre en charge les conséquences économiques résultant du fait que la personne assurée a décidé d'exercer une activité à temps partiel ( ATF 125 V 146 consid. 5c/bb p. 157).</w:t>
      </w:r>
    </w:p>
    <w:p>
      <w:r>
        <w:rPr>
          <w:b/>
        </w:rPr>
        <w:t>E. 4.3</w:t>
      </w:r>
    </w:p>
    <w:p>
      <w:r>
        <w:t>Dans la mesure où les montants du revenu sans invalidité (68'489 fr.) et du salaire de référence retenu par les premiers juges (50'278 fr.) ne sont pas contestés, il convient d'arrêter le degré d'invalidité pour la part que l'assurée consacre à l'exercice d'une activité lucrative à 69 % ([68'489 - 21'368] x 100 : 68'489). Le taux d'invalidité global s'élève par voie de conséquent à 63 % ([0,8 x 69 %] + [0,2 x 40 %]), taux qui ne donne droit qu'à un trois quarts de rente de l'assurance-invalidité. Dans ces conditions, il y a lieu d'admettre le recours, d'annuler le jugement attaqué et de confirmer la décision du 28 août 2008 de l'office recourant.</w:t>
      </w:r>
    </w:p>
    <w:p>
      <w:r>
        <w:rPr>
          <w:b/>
        </w:rPr>
        <w:t>E. 5</w:t>
      </w:r>
    </w:p>
    <w:p>
      <w:r>
        <w:t>Vu l'issue du litige, les frais judiciaires sont mis à la charge de l'intimée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