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9C_918/2007 vom 14. Januar 2009</w:t>
      </w:r>
    </w:p>
    <w:p>
      <w:r>
        <w:t>Bundesgericht, 2009-01-14, IT</w:t>
      </w:r>
    </w:p>
    <w:p>
      <w:r>
        <w:rPr>
          <w:b/>
        </w:rPr>
        <w:t xml:space="preserve">Quelle: </w:t>
      </w:r>
      <w:r>
        <w:t>https://mcp.opencaselaw.ch/entscheid/bger_9C_918_2007</w:t>
      </w:r>
    </w:p>
    <w:p>
      <w:r>
        <w:t>FR: TF 9C_918/2007 du 14 janvier 2009</w:t>
      </w:r>
    </w:p>
    <w:p>
      <w:r>
        <w:t>IT: TF 9C_918/2007 del 14 gennaio 2009</w:t>
      </w:r>
    </w:p>
    <w:p>
      <w:pPr>
        <w:pStyle w:val="Heading2"/>
      </w:pPr>
      <w:r>
        <w:t>Erwägungen</w:t>
      </w:r>
    </w:p>
    <w:p>
      <w:r>
        <w:rPr>
          <w:b/>
        </w:rPr>
        <w:t>E. 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Nei considerandi dell'impugnata pronuncia, il Tribunale cantonale delle assicurazioni ha diffusamente esposto le norme e i principi giurisprudenziali disciplinanti la materia, rammentando in particolare le condizioni alle quali è subordinata la presa a carico di un medicamento figurante nell'elenco delle specialità ( DTF 130 V 532 ). A tale esposizione può essere fatto riferimento e prestata adesione.</w:t>
      </w:r>
    </w:p>
    <w:p>
      <w:r>
        <w:rPr>
          <w:b/>
        </w:rPr>
        <w:t>E. 3</w:t>
      </w:r>
    </w:p>
    <w:p>
      <w:r>
        <w:t>l'amministrato non ha potuto rendersi conto immediatamente dell'inesattezza dell'informazione ricevuta;</w:t>
      </w:r>
    </w:p>
    <w:p>
      <w:r>
        <w:rPr>
          <w:b/>
        </w:rPr>
        <w:t>E. 3.1</w:t>
      </w:r>
    </w:p>
    <w:p>
      <w:r>
        <w:t>Il principio della buona fede, sancito dall' art. 9 Cost. , tutela la legittima fiducia dell'amministrato nei confronti dell'autorità amministrativa e gli permette in particolare di esigere che l'amministrazione rispetti le promesse fatte e che non si contraddica. Così, un'informazione o una decisione erronea possono obbligare l'amministrazione a concedere a un amministrato un vantaggio contrario alla legge se le seguenti condizioni cumulative sono riunite:</w:t>
      </w:r>
    </w:p>
    <w:p>
      <w:r>
        <w:t>1. l'autorità è intervenuta in una situazione concreta nei confronti di determinate persone;</w:t>
      </w:r>
    </w:p>
    <w:p>
      <w:r>
        <w:t>2. l'autorità ha agito entro i limiti della propria competenza o comunque è supposta avere agito entro tali limiti;</w:t>
      </w:r>
    </w:p>
    <w:p>
      <w:r>
        <w:rPr>
          <w:b/>
        </w:rPr>
        <w:t>E. 3.2</w:t>
      </w:r>
    </w:p>
    <w:p>
      <w:r>
        <w:t>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 DTF 111 Ib 116 consid. 4 pag. 124; cfr. pure sentenza del Tribunale federale delle assicurazioni K 19/99 del 17 settembre 1999, in RAMI 1999 no. KV 97 pag. 525 consid. 4b). In tale evenienza, tuttavia, l'assicurato non può, conformemente all' art. 3 cpv. 2 CC , prevalersi della propria buona fede se, nonostante i dubbi che si imponevano, non ha agito con la diligenza richiesta dalle circostanze (RAMI 1999 no. KV 97 pag. 525 consid. 4b).</w:t>
      </w:r>
    </w:p>
    <w:p>
      <w:r>
        <w:rPr>
          <w:b/>
        </w:rPr>
        <w:t>E. 3.3</w:t>
      </w:r>
    </w:p>
    <w:p>
      <w:r>
        <w:t>Secondo giurisprudenza, una cassa malati che si assume - per sbaglio (come lo pretende nel caso di specie Atupri)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w:t>
      </w:r>
    </w:p>
    <w:p>
      <w:r>
        <w:t>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w:t>
      </w:r>
    </w:p>
    <w:p>
      <w:r>
        <w:rPr>
          <w:b/>
        </w:rPr>
        <w:t>E. 3.4</w:t>
      </w:r>
    </w:p>
    <w:p>
      <w:r>
        <w:t>Come accertato, in maniera vincolante (consid. 1), dalla Corte cantonale, oltre ad avere (integralmente) pagato - senza sollevare la benché minima obiezione fino all'autunno 2006 - i trattamenti effettuati da settembre 2005, la ricorrente ha continuato anche in seguito a onorare le prestazioni per cure e medicinali riferiti alla terapia di dimagrimento (cfr. così la fattura del 6 dicembre 2006 per le prestazioni fornite il 10 ottobre 2006). Giustamente il primo giudice poteva di conseguenza ritenere che l'assicuratore malattia aveva messo in atto una prassi costante - e non isolata - tale da fare nascere legittime aspettative nell'assicurato e tale da giustificare la tutela della sua buona fede. Interessato che, dopo avere asseritamente interpellato (con lo scritto 28 luglio 2005) l'assicuratore malattia sulla sua intenzione di intraprendere un trattamento dimagrante, poteva a maggior ragione fare affidamento sulla correttezza dei pagamenti effettuati (cfr. per analogia la sentenza citata K 107/05, consid. 3.4.2) anche alla luce del suo peso presumibile all'avvio, nell'agosto 2005, del trattamento farmacologico. In effetti il fatto che lui lo abbia dichiarato in 110-114 kg, anche se non trova chiara conferma negli atti, appare più che plausibile e indirettamente suffragato dalla circostanza che dopo oltre un anno di assunzione del farmaco il suo medico curante dott. F.________ lo ha accertato, il 16 ottobre 2006, in 88.7 kg, a fronte di un'altezza di 177 cm e quindi di un BMI di 28.5. Il che lascerebbe ragionevolmente concludere per un peso, nell'agosto 2005, tale da fare credere all'adempimento dei requisiti materiali del diritto.</w:t>
      </w:r>
    </w:p>
    <w:p>
      <w:r>
        <w:rPr>
          <w:b/>
        </w:rPr>
        <w:t>E. 3.5</w:t>
      </w:r>
    </w:p>
    <w:p>
      <w:r>
        <w:t>Pertinentemente quindi la Corte cantonale poteva concludere che la Cassa aveva manifestato la chiara intenzione di interrompere la propria precedente prassi di assunzione dei costi per la prima volta dopo la ricezione della fattura del 4 settembre 2006 e dopo la messa in atto delle verifiche che ne erano seguite. Ne discende che, conformemente ai principi sviluppati nei precedenti considerandi e indipendentemente dalle considerazioni della ricorrente in merito al sistema del terzo pagante ( art. 42 cpv. 2 LAMal ; cfr. pure a contrario sentenza K 70/06 del 30 luglio 2007, in SVR 2008 KV no. 4 pag. 11, consid. 7.3), il rifiuto di rimborsare i trattamenti in oggetto poteva correttamente essere pronunciato solo per il futuro - vale a dire con riferimento ai trattamenti che sarebbero stati e che poi effettivamente sono stati dispensati dopo l'avvenuta conoscenza, da parte dell'assicurato, della presa di posizione della Cassa - e non anche con effetto retroattivo, come per contro è stato fatto. Per le prestazioni fornite in precedenza, la Cassa non poteva infatti negare il rimborso (cfr. sentenza citata K 107/05, consid. 3.4.2). In tali condizioni, la pronuncia impugnata, resa in applicazione della giurisprudenza in materia, merita di essere pienamente confermata.</w:t>
      </w:r>
    </w:p>
    <w:p>
      <w:r>
        <w:t>4.</w:t>
      </w:r>
    </w:p>
    <w:p>
      <w:r>
        <w:t>Non sono atte a modificare questa convinzione le censure sollevate in sede ricorsuale.</w:t>
      </w:r>
    </w:p>
    <w:p>
      <w:r>
        <w:rPr>
          <w:b/>
        </w:rPr>
        <w:t>E. 4</w:t>
      </w:r>
    </w:p>
    <w:p>
      <w:r>
        <w:t>facendo affidamento sull'informazione ricevuta egli ha preso delle disposizioni non reversibili senza pregiudizio;</w:t>
      </w:r>
    </w:p>
    <w:p>
      <w:r>
        <w:rPr>
          <w:b/>
        </w:rPr>
        <w:t>E. 4.1</w:t>
      </w:r>
    </w:p>
    <w:p>
      <w:r>
        <w:t>In particolare, l'affermazione secondo cui nell'ambito dell'assicurazione obbligatoria delle cure medico-sanitarie il principio di legalità non lascerebbe spazio per la tutela della buona fede, costituzionalmente garantita dall' art. 9 Cost. , contrasta con la giurisprudenza poc'anzi esposta e correttamente applicata dalla Corte cantonale, oltre che con la natura stessa di detto diritto costituzionale che, a determinate condizioni, può imporre la disapplicazione di una legge in un caso concreto (cfr. ULRICH HÄFELIN/GEORG MÜLLER/FELIX UHLMANN, Allgemeines Verwaltungsrecht, 5a ed., Zurigo 2006, n. 629).</w:t>
      </w:r>
    </w:p>
    <w:p>
      <w:r>
        <w:rPr>
          <w:b/>
        </w:rPr>
        <w:t>E. 4.2</w:t>
      </w:r>
    </w:p>
    <w:p>
      <w:r>
        <w:t>Per quanto concerne inoltre la questione della ponderazione degli interessi in gioco - di cui peraltro detta giurisprudenza già tiene adeguatamente conto, allo stesso modo in cui ne tiene per valutare l'esistenza del necessario nesso di causalità tra il comportamento dell'amministrazione e le disposizioni dell'assicurato (v. a tal proposito DTF 121 V 65 consid. 2b pag. 67) -, va qui ricordato che se anche (eccezionalmente: DTF 114 Ia 209 consid. 3c pag. 215 con riferimento; 101 Ia 328 consid. 6c pag. 331; HÄFELIN/MÜLLER/UHLMANN, op. cit., n. 696; ELISABETH CHIARIELLO, Treu und Glauben als Grundrecht nach Art. 9 der Schweizerischen Bundesverfassung, tesi Berna 2004, pag. 129 seg.) l'interesse pubblico alla corretta applicazione del diritto dovesse prevalere, al termine di una simile ponderazione nel singolo caso, sull'interesse del privato nell'affidamento fatto, rimarrebbe comunque riservato il diritto di quest'ultimo a un risarcimento del danno subito (cfr. sentenza 8C_542/2007 del 14 aprile 2008, consid. 4.2; HÄFELIN/MÜLLER/UHLMANN, op. cit., n. 665, 696 in fine e 703; BEATRICE WEBER-DÜRLER, Vertrauensschutz im öffentlichen Recht, Basilea/Francoforte sul Meno 1983, pag. 128 e 140 segg.).</w:t>
      </w:r>
    </w:p>
    <w:p>
      <w:r>
        <w:rPr>
          <w:b/>
        </w:rPr>
        <w:t>E. 4.3</w:t>
      </w:r>
    </w:p>
    <w:p>
      <w:r>
        <w:t>Il fatto poi che l'assicurato avrebbe beneficiato dei pagamenti della Cassa senza avere in precedenza raccolto il consenso scritto e prescritto per legge del medico di fiducia dell'assicuratore malattia (v. art. 58 cpv. 3 lett. a LAMal ), può ostare al riconoscimento delle prestazioni in esame sotto l'aspetto del principio di legalità, ma non, per quanto visto in precedenza, sotto quello della tutela della buona fede.</w:t>
      </w:r>
    </w:p>
    <w:p>
      <w:r>
        <w:rPr>
          <w:b/>
        </w:rPr>
        <w:t>E. 4.4</w:t>
      </w:r>
    </w:p>
    <w:p>
      <w:r>
        <w:t>La Cassa non può infine validamente negare l'esistenza di una base suscettibile di fondare, presso l'assicurato, il necessario affidamento ("Vertrauensgrundlage") per il fatto che essa avrebbe pagato, in applicazione del sistema del terzo pagante ( art. 42 cpv. 2 LAMal ), le fatture dei fornitori di prestazioni, ossia delle farmacie, senza interpellare l'assicurato. In virtù della giurisprudenza suesposta, è infatti già il mancato regresso, per un certo periodo, dell'assicuratore malattia nei confronti dell'assicurato ad aver fatto nascere in quest'ultimo l'aspettativa che le prestazioni assunte dalla Cassa avrebbero continuato ad essergli assegnate.</w:t>
      </w:r>
    </w:p>
    <w:p>
      <w:r>
        <w:rPr>
          <w:b/>
        </w:rPr>
        <w:t>E. 5</w:t>
      </w:r>
    </w:p>
    <w:p>
      <w:r>
        <w:t>Ne segue che il ricorso deve essere respinto siccome infondato. Le spese seguono la soccombenza e sono quindi poste a carico della parte ricorrente ( art. 66 cpv. 1 LTF ). La ricorrente dovrà inoltre corrispondere all'opponente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