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9C_917/2014 vom 30. Januar 2015</w:t>
      </w:r>
    </w:p>
    <w:p>
      <w:r>
        <w:t>Bundesgericht, 2015-01-30, DE</w:t>
      </w:r>
    </w:p>
    <w:p>
      <w:r>
        <w:rPr>
          <w:b/>
        </w:rPr>
        <w:t xml:space="preserve">Quelle: </w:t>
      </w:r>
      <w:r>
        <w:t>https://mcp.opencaselaw.ch/entscheid/bger_9C_917_2014</w:t>
      </w:r>
    </w:p>
    <w:p>
      <w:r>
        <w:t>FR: TF 9C_917/2014 du 30 janvier 2015</w:t>
      </w:r>
    </w:p>
    <w:p>
      <w:r>
        <w:t>IT: TF 9C_917/2014 del 30 gennaio 2015</w:t>
      </w:r>
    </w:p>
    <w:p>
      <w:pPr>
        <w:pStyle w:val="Heading2"/>
      </w:pPr>
      <w:r>
        <w:t>Erwägungen</w:t>
      </w:r>
    </w:p>
    <w:p>
      <w:r>
        <w:rPr>
          <w:b/>
        </w:rPr>
        <w:t>E. 1</w:t>
      </w:r>
    </w:p>
    <w:p>
      <w:r>
        <w:t>Nach Art. 42 Abs. 1 und 2 BGG muss das Rechtsmittel unter anderem die Rechtsbegehren und deren Begründung enthalten. In der Begründung ist in gedrängter Form darzulegen, inwiefern der angefochtene Entscheid Recht verletzt. Es muss mithin ersichtlich sein, in welchen Punkten und aus welchen Gründen dieser beanstandet wird ( BGE 134 II 244 E. 2.1 S. 245; 131 II 449 E. 1.3 S. 452).</w:t>
      </w:r>
    </w:p>
    <w:p>
      <w:r>
        <w:rPr>
          <w:b/>
        </w:rPr>
        <w:t>E. 2</w:t>
      </w:r>
    </w:p>
    <w:p>
      <w:r>
        <w:t>Dieser Grundsatz wurde der Beschwerdeführerin bereits in den bundesgerichtlichen Entscheiden 9C_292/2011 vom 11. Mai 2011 und 9C_419/2012 vom 18. Juni 2012 dargelegt, in denen ebenfalls die Kantonale Ausgleichskasse Gegenpartei war. Die jetzt zu behandelnde Beschwerdeschrift setzt sich wiederum nicht sachbezogen mit den vorinstanzlichen Erwägungen auseinander.</w:t>
      </w:r>
    </w:p>
    <w:p>
      <w:r>
        <w:rPr>
          <w:b/>
        </w:rPr>
        <w:t>E. 3</w:t>
      </w:r>
    </w:p>
    <w:p>
      <w:r>
        <w:t>Sind die Mindestanforderungen nach Art. 42 Abs. 1 und 2 BGG nicht erfüllt, so ist im vereinfachten Verfahren nach Art. 108 Abs. 1 lit. b und Abs. 2 BGG auf die Beschwerden nicht einzutreten.</w:t>
      </w:r>
    </w:p>
    <w:p>
      <w:r>
        <w:rPr>
          <w:b/>
        </w:rPr>
        <w:t>E. 4</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