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9C_914/2010 vom 2. Dezember 2010</w:t>
      </w:r>
    </w:p>
    <w:p>
      <w:r>
        <w:t>Bundesgericht, 2010-12-02, DE</w:t>
      </w:r>
    </w:p>
    <w:p>
      <w:r>
        <w:rPr>
          <w:b/>
        </w:rPr>
        <w:t xml:space="preserve">Quelle: </w:t>
      </w:r>
      <w:r>
        <w:t>https://mcp.opencaselaw.ch/entscheid/bger_9C_914_2010</w:t>
      </w:r>
    </w:p>
    <w:p>
      <w:r>
        <w:t>FR: TF 9C_914/2010 du 2 décembre 2010</w:t>
      </w:r>
    </w:p>
    <w:p>
      <w:r>
        <w:t>IT: TF 9C_914/2010 del 2 dicembre 2010</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(vgl. Urteil 9C_684/2007 vom 27. Dezember 2007, E. 1.1 mit Hinweisen), um einen - selbstständig eröffneten - Vor- oder Zwischenentscheid im Sinne von Art. 93 BGG ( BGE 133 V 477 E. 4.2 S. 481 f. mit Hinweisen). Die Zulässigkeit der Beschwerde setzt somit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Ein in diesem Sinne nicht wieder gutzumachender Nachteil ist rechtlicher Natur und auch mit einem für die Beschwerde führende Partei günstigen Endentscheid nicht oder nicht vollständig behebbar ( BGE 133 V 645 E. 2.1 S. 647 mit Hinweisen). So verhält es sich, wenn die Verwaltung bzw. der Versicherungsträger durch den Rückweisungsentscheid gezwungen werden, eine ihres Erachtens rechtswidrige Verfügung zu treffen. Diesfalls kann bereits dieser Entscheid angefochten werden, ohne vorgängig den Endentscheid abwarten zu müssen ( BGE 133 V 477 E. 5.2, 5.2.1-5.2.4 S. 483 ff.). Die Rückweisung der Sache an die IV-Stelle zu weiterer oder ergänzender Abklärung und neuer Entscheidung stellt lediglich insoweit einen solchen Nachteil dar, als die Verwaltung durch materielle Vorgaben wesentlich in ihrem Beurteilungsspielraum eingeschränkt wird und davon in der Folge nicht mehr abgewichen werden kann ( BGE 132 V 477 E. 5.2 S. 483; Urteil 9C_304/2007 vom 25. Oktober 2007 E. 1.2.1).</w:t>
      </w:r>
    </w:p>
    <w:p>
      <w:r>
        <w:rPr>
          <w:b/>
        </w:rPr>
        <w:t>E. 2</w:t>
      </w:r>
    </w:p>
    <w:p>
      <w:r>
        <w:t>Die Vorinstanz hat die Sache zu einer neuen interdisziplinären Untersuchung und Begutachtung an die Verwaltung zurückgewiesen. Dies betrifft einerseits die medizinische Abklärung des Grades der Arbeitsfähigkeit. Dazu ist erwogen worden, die Begutachtung an sich erfordere keine lang einzuhaltende Alkoholabstinenz. Anderseits müssten durch die Verwaltung geeignete Wiedereingliederungsmöglichkeiten evaluiert werden. Ob eine kontrollierte Alkoholabstinenz - trotz Zusammenwirkens zwischen dem psychischen Leiden und der Alkoholabhängigkeit - im Hinblick auf die Eingliederungsmassnahmen zumutbar ist, würden die Mediziner im neuen Gutachten abzuklären haben. Ob allenfalls unter dem Titel der Schadenminderungspflicht gemäss Art. 21 Abs. 4 ATSG Anforderungen betreffend allfällige Eingliederungsmassnahmen an die Versicherte gestellt werden können, werde gegebenenfalls unter Beachtung der gesundheitlichen Entwicklung bis zum Verfügungszeitpunkt und unter sorgfältiger Evaluation der der Versicherten realistischerweise zumutbaren Anstrengungen zu beurteilen sein. Ungeachtet der noch zu prüfenden Schadenminderungsauflagen, welche nur für die Zukunft wirksam sein könnten, werde die Verwaltung je nach Ergebnis der weiteren Abklärungen gegebenenfalls über einen vorübergehenden Rentenanspruch zu befinden haben.</w:t>
      </w:r>
    </w:p>
    <w:p>
      <w:r>
        <w:rPr>
          <w:b/>
        </w:rPr>
        <w:t>E. 3</w:t>
      </w:r>
    </w:p>
    <w:p>
      <w:r>
        <w:t>Nach diesen Ausführungen kann nicht die Rede davon sein, die Verwaltung sei durch materielle Vorgaben des Gerichts wesentlich in ihrem Beurteilungsspielraum eingeschränkt und es könne davon in der Folge nicht mehr abgewichen werden, weshalb ihr ein im Sinne von Art. 93 Abs. 1 lit. a BGG nicht wieder gutzumachender Nachteil entstehe. Auch sind ihr in rechtlicher Hinsicht keine Instruktionen erteilt worden, die sie nicht ohnehin von Gesetzes wegen zu berücksichtigen hätte (so z.B. Art. 29 Abs. 1 IVG über den Beginn des Rentenanspruchs). Ebenso hindert die Vorinstanz die Verwaltung entgegen dem gemachten Vorwurf nicht in einer Bundesrecht verletzenden Art und Weise an der korrekten Durchführung ihrer Abklärungen. Sie hat ihr lediglich aufgezeigt, wie ihres Erachtens ein regelrechtes Abklärungsverfahren zu staffeln sein wird. Es trifft nicht zu, dass sie dabei "allgemeine medizinische Erkenntnisse" ausser Acht gelassen (Stellungnahme RAD vom 28. Oktober 2010) und somit allenfalls den rechtserheblichen Sachverhalt nicht korrekt festgestellt hat. Der RAD selber schloss sich ja am 4. Juli 2008 der Auffassung des behandelnden Arztes Dr. med. B.________ an, der eine Persönlichkeitsstörung und den sekundären Charakter der Suchtproblematik feststellte. Entgegen der Beschwerdeführerin hat die Vorinstanz nicht behauptet, die Begutachtung eines Alkoholikers könne unter der Voraussetzung allein regelrecht durchgeführt werden, dass er im Begutachtungszeitpunkt nüchtern sei. Sie hat lediglich ausgeführt, zur Abklärung der Arbeitsfähigkeit im Rahmen der Mitwirkungspflicht sei eine lang einzuhaltende Alkoholabstinenz in der Regel nicht zielführend. Eine solche sei der versicherten Person im Rahmen einer Massnahme zur Eingliederung ins Erwerbsleben zur Schadenminderung zumutbar. Diese Sichtweise ist korrekt. Es liegt hier unbestritten eine Suchterkrankung vor. Wie z.B. auch von Ess-, Mager-, Nikotin- und anderen Süchtigen kann im Abklärungsstadium nicht mehr gefordert werden als ein Verhalten, das den Experten in die Lage versetzt, sich ein ausreichendes Bild über die gesundheitliche Situation zu verschaffen. Denn es handelt sich hier nicht um eine therapeutische, sondern um eine Untersuchungsmassnahme im Hinblick auf eine allfällige Leistungspflicht der Beschwerdeführerin. Die gegen den Rückweisungsentscheid gerichtete Beschwerde ist damit unzulässig.</w:t>
      </w:r>
    </w:p>
    <w:p>
      <w:r>
        <w:rPr>
          <w:b/>
        </w:rPr>
        <w:t>E. 4</w:t>
      </w:r>
    </w:p>
    <w:p>
      <w:r>
        <w:t>Bei diesem Ausgang des Verfahrens wird die unterliegende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