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9C_910/2015 vom 31. Dezember 2015</w:t>
      </w:r>
    </w:p>
    <w:p>
      <w:r>
        <w:t>Bundesgericht, 2015-12-31, DE</w:t>
      </w:r>
    </w:p>
    <w:p>
      <w:r>
        <w:rPr>
          <w:b/>
        </w:rPr>
        <w:t xml:space="preserve">Quelle: </w:t>
      </w:r>
      <w:r>
        <w:t>https://mcp.opencaselaw.ch/entscheid/bger_9C_910_2015</w:t>
      </w:r>
    </w:p>
    <w:p>
      <w:r>
        <w:t>FR: TF 9C_910/2015 du 31 décembre 2015</w:t>
      </w:r>
    </w:p>
    <w:p>
      <w:r>
        <w:t>IT: TF 9C_910/2015 del 31 dicembre 2015</w:t>
      </w:r>
    </w:p>
    <w:p>
      <w:pPr>
        <w:pStyle w:val="Heading2"/>
      </w:pPr>
      <w:r>
        <w:t>Volltext</w:t>
      </w:r>
    </w:p>
    <w:p>
      <w:r>
        <w:t>Bundesgericht</w:t>
      </w:r>
    </w:p>
    <w:p>
      <w:r>
        <w:t>Tribunal fédéral</w:t>
      </w:r>
    </w:p>
    <w:p>
      <w:r>
        <w:t>Tribunale federale</w:t>
      </w:r>
    </w:p>
    <w:p>
      <w:r>
        <w:t>Tribunal federal</w:t>
      </w:r>
    </w:p>
    <w:p>
      <w:r>
        <w:t>{T 0/2}</w:t>
      </w:r>
    </w:p>
    <w:p>
      <w:r>
        <w:t>9C_910/2015</w:t>
      </w:r>
    </w:p>
    <w:p>
      <w:r>
        <w:t>Urteil vom 31. Dezember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1. Dezember 2015.</w:t>
      </w:r>
    </w:p>
    <w:p>
      <w:r>
        <w:t>Nach Einsicht</w:t>
      </w:r>
    </w:p>
    <w:p>
      <w:r>
        <w:t>in die Beschwerde vom 4. Dezember 2015 (Poststempel) gegen den Entscheid des Verwaltungsgerichts des Kantons Bern, Sozialversicherungsrechtliche Abteilung, vom 1. Dezember 2015 betreffend Einspracheentscheid vom 9. Juli 2015 und die weitere Eingabe vom 16. Dezember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qualifiziert unzutreffend und die darauf beruhenden Erwägungen rechtsfehlerhaft sein sollen, was insbesondere für den pauschalen, in keiner Weise substanziierten Vorwurf der Befangenheit ("UNFÄHIG, VOREINGENOMMEN und UNOBJEKTIV") zutrifft,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31. Dezember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