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9C_90/2015 vom 2. Juni 2015</w:t>
      </w:r>
    </w:p>
    <w:p>
      <w:r>
        <w:t>Bundesgericht, 2015-06-02, DE</w:t>
      </w:r>
    </w:p>
    <w:p>
      <w:r>
        <w:rPr>
          <w:b/>
        </w:rPr>
        <w:t xml:space="preserve">Quelle: </w:t>
      </w:r>
      <w:r>
        <w:t>https://mcp.opencaselaw.ch/entscheid/bger_9C_90_2015</w:t>
      </w:r>
    </w:p>
    <w:p>
      <w:r>
        <w:t>FR: TF 9C_90/2015 du 2 juin 2015</w:t>
      </w:r>
    </w:p>
    <w:p>
      <w:r>
        <w:t>IT: TF 9C_90/2015 del 2 giugno 2015</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 BGE 134 V 49 E. 2 S. 51).</w:t>
      </w:r>
    </w:p>
    <w:p>
      <w:r>
        <w:rPr>
          <w:b/>
        </w:rPr>
        <w:t>E. 3</w:t>
      </w:r>
    </w:p>
    <w:p>
      <w:r>
        <w:t>Streitig ist einzig die Frage der Rechtzeitigkeit der vorinstanzlich eingereichten Beschwerde.</w:t>
      </w:r>
    </w:p>
    <w:p>
      <w:r>
        <w:rPr>
          <w:b/>
        </w:rPr>
        <w:t>E. 3.1</w:t>
      </w:r>
    </w:p>
    <w:p>
      <w:r>
        <w:t>Entgegen der Einwendung des Beschwerdeführers schreibt das ATSG den IV-Stellen für die Eröffnung von Verfügungen keine bestimmte Zustellungsform vor. Der Versand einer rentenaufhebenden Verfügung mittels</w:t>
      </w:r>
    </w:p>
    <w:p>
      <w:r>
        <w:t>A-Post Plus ist deshalb nicht zu beanstanden. Bei dieser Versandmethode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(StR 67/2012 S. 301, 2C_570/2011 E. 4.2; StR 65/2010 S. 396, 2C_430/2009 E. 2.3). Im Falle des Beschwerdeführers wurde die Sendung mit der Verfügung vom 9. Mai 2014 gemäss vorliegendem Track&amp;Trace-Auszug gleichentags aufgegeben und am Samstag, 10. Mai 2014, um 06.13 Uhr ins Postfach des Rechtsvertreters gelegt.</w:t>
      </w:r>
    </w:p>
    <w:p>
      <w:r>
        <w:rPr>
          <w:b/>
        </w:rPr>
        <w:t>E. 3.2</w:t>
      </w:r>
    </w:p>
    <w:p>
      <w:r>
        <w:t>Nach der Rechtsprechung liegt - auch bei der Zustellungsart A-Post Plus -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unbehelflich (StR 67/2012 S. 301, 2C_570/2011 E. 4.3 mit Hinweisen; Urteil 2C_165/2015 vom 21. Februar 2015 E. 2.3).</w:t>
      </w:r>
    </w:p>
    <w:p>
      <w:r>
        <w:rPr>
          <w:b/>
        </w:rPr>
        <w:t>E. 3.3</w:t>
      </w:r>
    </w:p>
    <w:p>
      <w:r>
        <w:t>Der Rechtsvertreter des Beschwerdeführers macht geltend, der streitige Track&amp;Trace-Ausdruck ("Sa 10.05.2014 06.13 Zugestellt via Postfach") dokumentiere nicht etwa die Ablage der Briefsendung in sein Postfach, sondern lediglich den Zeitpunkt, in welchem der Brief der Poststelle zugegangen sei. Allen Mitarbeitern der Poststelle X.________ sei bekannt, dass er an Samstagen jeweils keine Sendungen aus dem Postfach abholen komme. Die Angestellten kümmerten sich zuerst um die Postfächer, von denen sie wüssten, dass sie samstags geleert würden. Bei den andern Fächern, insbesondere auch bei seinem, legten sie die Sendungen - da sie stets überlastet seien - erst später, sogar meist erst im Verlaufe des Montags ins Postfach. Bei ihm erst recht, weil sie wüssten, dass er am Montag seine Post jeweils nicht vor 10.00 Uhr abholen komme. Die Befragung des Personals würde ergeben, dass die in Frage stehende Verfügung erst im Verlaufe des Montagmorgens in sein Postfach gelangt sei. Die vorinstanzliche Annahme, dass sich die Mitarbeiter der Poststelle X.________ nicht danach richteten, wann ein Postfachinhaber sein Fach leere, sei willkürlich; die Bedürfnisse der Postfachkunden würden von dieser Poststelle noch respektiert.</w:t>
      </w:r>
    </w:p>
    <w:p>
      <w:r>
        <w:rPr>
          <w:b/>
        </w:rPr>
        <w:t>E. 3.4</w:t>
      </w:r>
    </w:p>
    <w:p>
      <w:r>
        <w:t>Die Darstellung des Rechtsvertreters ist alles andere als plausibel. So wie der Rechtsanwalt die Abläufe in der Poststelle X.________ schildert, würde die Postdienstleistung A-Post Plus, welche die zuverlässige elektronische Sendungsverfolgung von der Postaufgabe bis zur Zustellung ermöglichen soll, geradezu sinnlos. 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Dabei spielt es keine Rolle, ob tatsächlich bereits am Samstag, 10. Mai 2014, vom Verfügungsinhalt Kenntnis genommen wurde oder - wie der Rechtsvertreter des Beschwerdeführers geltend macht - erst am darauf folgenden Montag. Nach ständiger Rechtsprechung ist für die Zustellung einer Sendung nämlich nicht erforderlich, dass der Adressat sie tatsächlich in Empfang nimmt; es genügt, wenn sie in seinen Machtbereich gelangt und er demzufolge von ihr Kenntnis nehmen kann. Dies hat zur Konsequenz, dass Fristen bereits im Zeitpunkt der ordnungsgemässen Zustellung und nicht erst bei tatsächlicher Kenntnisnahme durch den Adressaten zu laufen beginnen (StR 65/2010 S. 396, 2C_430/2009 E. 2.4 mit Hinweis auf BGE 122 I 139 E. 1 S. 143, 115 Ia 12 E. 3b S. 17 und 113 Ib 296 E. 2a S. 297 f.). Sämtliche weiteren Einwendungen des Beschwerdeführers betreffend Verstoss gegen Treu und Glauben, überspitzten Formalismus und Rechtsgleichheit wurden im Urteil 2C_1126/2014 vom 20. Februar 2015 E. 2.4, auf welches bereits in der Zwischenverfügung vom 23. April 2015 hingewiesen wurde, allesamt widerlegt.</w:t>
      </w:r>
    </w:p>
    <w:p>
      <w:r>
        <w:rPr>
          <w:b/>
        </w:rPr>
        <w:t>E. 3.5</w:t>
      </w:r>
    </w:p>
    <w:p>
      <w:r>
        <w:t>Wurde die Rentenaufhebungsverfügung nach dem Gesagten am 10. Mai 2014 eröffnet, begann die 30-tägige Beschwerdefrist am 11. Mai 2014 zu laufen (Art. 38 Abs. 1 in Verbindung mit Art. 60 Abs. 2 ATSG ), wie das kantonale Gericht zu Recht erkannt hat. Die Begründung des vorinstanzlichen Entscheids bedarf indes insofern der Korrektur, als die Beschwerdefrist nicht am 9. Juni 2014, d.h. am Pfingstmontag endete. Ist nämlich der letzte Tag der Beschwerdefrist ein Samstag, ein Sonntag oder ein vom Bundesrecht oder vom kantonalen Recht anerkannter Feiertag, so endet sie am nächstfolgenden Werktag; massgebend ist das Recht des Kantons, in dem die Partei oder ihr Vertreter Wohnsitz oder Sitz hat (Art. 38 Abs. 3 in Verbindung mit Art. 60 Abs. 2 ATSG ). Sowohl der Beschwerdeführer als auch sein Rechtsvertreter hat seinen Wohnsitz bzw. seinen Sitz im Kanton Zürich. Der Pfingstmontag ist nach dem folglich massgebenden zürcherischen Recht ein anerkannter Feiertag (§ 1 Abs. 1 lit. b des Ruhetags- und Ladenöffnungsgesetzes vom 26. Juni 2000; LS 822.4). Demnach endete die Beschwerdefrist am darauf folgenden Dienstag, den 10. Juni 2014. Dies ändert aber nichts daran, dass die erst am 11. Juni 2014 eingereichte Beschwerde (um einen Tag) verspätet war.</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 Sein Gesuch um unentgeltliche Rechtspflege wurde mit Zwischenverfügung vom 23. April 2015 zufolge Aussichtslosigkeit der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