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9C_904/2010 vom 20. Juni 2011</w:t>
      </w:r>
    </w:p>
    <w:p>
      <w:r>
        <w:t>Bundesgericht, 2011-06-20, FR</w:t>
      </w:r>
    </w:p>
    <w:p>
      <w:r>
        <w:rPr>
          <w:b/>
        </w:rPr>
        <w:t xml:space="preserve">Quelle: </w:t>
      </w:r>
      <w:r>
        <w:t>https://mcp.opencaselaw.ch/entscheid/bger_9C_904_2010</w:t>
      </w:r>
    </w:p>
    <w:p>
      <w:r>
        <w:t>FR: TF 9C_904/2010 du 20 juin 2011</w:t>
      </w:r>
    </w:p>
    <w:p>
      <w:r>
        <w:t>IT: TF 9C_904/2010 del 20 giugno 2011</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le droit de l'intimée à une demi-rente d'invalidité à partir du 1er septembre 2008. A cet égard, le jugement entrepris expose de manière exacte et complète les règles légales et la jurisprudence sur la notion d'invalidité et son évaluation, la valeur probante de rapports médicaux et le principe de la libre appréciation des preuves. Il suffit d'y renvoyer.</w:t>
      </w:r>
    </w:p>
    <w:p>
      <w:r>
        <w:rPr>
          <w:b/>
        </w:rPr>
        <w:t>E. 3</w:t>
      </w:r>
    </w:p>
    <w:p>
      <w:r>
        <w:t>Le recourant reproche à la juridiction cantonale d'avoir procédé à une appréciation arbitraire des preuves en accordant pleine valeur probante aux avis des docteurs A.________ et B.________ et en excluant les autres éléments pertinents au dossier. Il se plaint également d'une violation de son droit d'être entendu en ce que les premiers juges n'ont pas discuté de l'argumentation avec laquelle il contestait la valeur probante des expertises judiciaires, en se référant à un avis du SMR du 15 mars 2010 produit en instance cantonale.</w:t>
      </w:r>
    </w:p>
    <w:p>
      <w:r>
        <w:rPr>
          <w:b/>
        </w:rPr>
        <w:t>E. 3.1</w:t>
      </w:r>
    </w:p>
    <w:p>
      <w:r>
        <w:t>En l'occurrence, après avoir mentionné les différents rapports médicaux aux dossier et exposé brièvement le contenu des expertises des docteurs A.________ et B.________ auxquelles elle a accordé pleine valeur probante, la juridiction cantonale a fait siennes les conclusions des experts, "à savoir que la capacité résiduelle de la recourante s'élève à 50 % en raison des troubles psychiques et physiques dont elle souffre". Elle en a déduit que l'intimée avait droit à une demi-rente d'invalidité dont elle a fixé la naissance au 1er septembre 2008.</w:t>
      </w:r>
    </w:p>
    <w:p>
      <w:r>
        <w:rPr>
          <w:b/>
        </w:rPr>
        <w:t>E. 3.2</w:t>
      </w:r>
    </w:p>
    <w:p>
      <w:r>
        <w:t>Une telle manière de procéder relève d'une violation du principe de la libre appréciation des preuves, qui se confond ici avec une violation de l' art. 29 al. 2 Cst.</w:t>
      </w:r>
    </w:p>
    <w:p>
      <w:r>
        <w:t>A la lecture du jugement entrepris, on constate en effet que la juridiction cantonale s'est limitée à indiquer se rallier aux conclusions des docteurs A.________ et B.________, sans inclure dans son appréciation aucun des autres rapports médicaux dont elle a pourtant fait état. En particulier, elle n'a pas indiqué les raisons pour lesquelles elle se fondait sur l'opinion médicale des experts et non pas sur l'avis, diamétralement opposé, des médecins du SMR. Se résumant à mentionner suivre les expertises judiciaires, l'appréciation des preuves à laquelle a procédé la juridiction cantonale n'a pas porté sur l'ensemble des pièces médicales déterminantes dont elle aurait eu à discuter vu les avis contradictoires au dossier. A cet égard, le principe jurisprudentiel selon lequel le juge ne s'écarte en principe pas sans motifs impératifs - telles des contradictions dans l'expertise ou les opinions contraires d'autres spécialistes aptes à mettre en doute la pertinence des déductions de l'expert - des conclusions d'une expertise médicale judiciaire ( ATF 125 V 351 consid. 3b/aa p. 352 s. et les références) ne dispensait pas l'autorité cantonale de recours d'expliquer pourquoi l'appréciation des experts emportait sa conviction, malgré les critiques soulevées à son encontre par le recourant. Celui-ci avait produit un avis du SMR (du 15 mars 2010) remettant en cause la cohérence des conclusions des experts quant aux diagnostics et à l'incapacité de travail au regard de leurs constatations objectives. Le médecin du SMR a, par exemple, contesté les conclusions du docteur B.________ quant à la présence des différents critères diagnostiques permettant de retenir un épisode dépressif moyen. A défaut d'indiquer, même de manière succincte mais topique, en quoi les griefs soulevés par le recourant en s'appuyant sur les critiques du SMR n'étaient pas susceptibles de remettre en cause les expertises judiciaires, la juridiction cantonale a violé le principe de la libre appréciation des preuves.</w:t>
      </w:r>
    </w:p>
    <w:p>
      <w:r>
        <w:t>Cette omission consacre en même temps un déni de justice formel prohibé par l' art. 29 al. 2 Cst. (cf. ATF 133 III 235 consid. 5.2 p. 248; 126 I 97 consid. 2b p. 102; 125 III 440 consid. 2a p. 441), puisque les premiers juges ont manqué de se prononcer sur les griefs de l'une des parties qui présentaient une certaine pertinence.</w:t>
      </w:r>
    </w:p>
    <w:p>
      <w:r>
        <w:t>En outre, en accordant à l'intimée le droit à une demi-rente d'invalidité à partir du 1er septembre 2008, la juridiction cantonale s'est prononcée sur une période qui va au-delà de la limite temporelle fixée par la décision administrative du 8 mai 2008 - et jusqu'à laquelle s'étend en principe l'examen juridictionnel en cas de recours - sans examiner si les conditions permettant une telle extension étaient remplies, ce qui se révèle également contraire au droit fédéral.</w:t>
      </w:r>
    </w:p>
    <w:p>
      <w:r>
        <w:rPr>
          <w:b/>
        </w:rPr>
        <w:t>E. 3.3</w:t>
      </w:r>
    </w:p>
    <w:p>
      <w:r>
        <w:t>Il résulte de ce qui précède que le jugement entrepris doit être annulé et la cause renvoyée à la juridiction cantonale pour qu'elle procède conformément au droit et rende un nouveau jugement. En ce sens, le recours se révèle bien fondé.</w:t>
      </w:r>
    </w:p>
    <w:p>
      <w:r>
        <w:rPr>
          <w:b/>
        </w:rPr>
        <w:t>E. 4</w:t>
      </w:r>
    </w:p>
    <w:p>
      <w:r>
        <w:t>Vu l'issue du litige, l'intimée doit en principe supporter les frais judiciaires ( art. 66 al. 1 LTF ). Dès lors que les conditions d'octroi de l'assistance judiciaire sont cependant réalisées, celle-ci est accordée à l'intimée. Son attention est toutefois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