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9C_8/2020 vom 29. Januar 2020</w:t>
      </w:r>
    </w:p>
    <w:p>
      <w:r>
        <w:t>Bundesgericht, 2020-01-29, DE</w:t>
      </w:r>
    </w:p>
    <w:p>
      <w:r>
        <w:rPr>
          <w:b/>
        </w:rPr>
        <w:t xml:space="preserve">Quelle: </w:t>
      </w:r>
      <w:r>
        <w:t>https://mcp.opencaselaw.ch/entscheid/bger_9C_8_2020</w:t>
      </w:r>
    </w:p>
    <w:p>
      <w:r>
        <w:t>FR: TF 9C_8/2020 du 29 janvier 2020</w:t>
      </w:r>
    </w:p>
    <w:p>
      <w:r>
        <w:t>IT: TF 9C_8/2020 del 29 gennaio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9C_8/2020</w:t>
      </w:r>
    </w:p>
    <w:p>
      <w:r>
        <w:t>Urteil vom 29. Januar 2020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Stanger.</w:t>
      </w:r>
    </w:p>
    <w:p>
      <w:r>
        <w:t>Verfahrensbeteiligte</w:t>
      </w:r>
    </w:p>
    <w:p>
      <w:r>
        <w:t>1. A.A.________,</w:t>
      </w:r>
    </w:p>
    <w:p>
      <w:r>
        <w:t>2. B.A.________,</w:t>
      </w:r>
    </w:p>
    <w:p>
      <w:r>
        <w:t>beide vertreten durch Herrn B.________,</w:t>
      </w:r>
    </w:p>
    <w:p>
      <w:r>
        <w:t>Beschwerdeführer,</w:t>
      </w:r>
    </w:p>
    <w:p>
      <w:r>
        <w:t>gegen</w:t>
      </w:r>
    </w:p>
    <w:p>
      <w:r>
        <w:t>Ausgleichskasse des Kantons Aargau, Kyburgerstrasse 15, 5000 Aarau,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Versicherungsgerichts des Kantons Aargau vom 25. November 2019 (VBE.2019.148).</w:t>
      </w:r>
    </w:p>
    <w:p>
      <w:r>
        <w:t>Nach Einsicht</w:t>
      </w:r>
    </w:p>
    <w:p>
      <w:r>
        <w:t>in die Beschwerde vom 3. Januar 2020 (Poststempel) gegen den Entscheid des Versicherungsgerichts des Kantons Aargau vom 25. November 2019,</w:t>
      </w:r>
    </w:p>
    <w:p>
      <w:r>
        <w:t>in die Mitteilung des Bundesgerichts vom 7. Januar 2020 an den Vertreter von A.A.________ und B.A.________,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die daraufhin am 13. Januar 2020 (Poststempel) eingereichte Eingabe,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konkret auf die für das Ergebnis des betreffenden Entscheids massgeblichen Erwägungen einzugehen und im Einzelnen aufzuzeigen ist, welche Vorschriften und weshalb sie von der Vorinstanz verletzt worden sind ( BGE 134 V 53 E. 3.3 S. 60; 133 IV 286 E. 1.4 S. 287), während rein appellatorische Kritik nicht genügt ( BGE 145 I 26 E. 1.3 S. 30 mit Hinweisen),</w:t>
      </w:r>
    </w:p>
    <w:p>
      <w:r>
        <w:t>dass in der Eingabe vom 13. Januar 2020 lediglich pauschal geltend gemacht wird, der Entscheid der Vorinstanz entspreche "einem willkürlichen, ungerechtfertigten Urteil gegen die Familie A.________", ohne jedoch (konkret) aufzuzeigen, inwiefern die vorinstanzlichen Sachverhaltsfeststellungen im Sinne von Art. 97 Abs. 1 BGG qualifiziert unzutreffend (unhaltbar, willkürlich; BGE 140 V 22 E. 7.3.1 S. 39 mit Hinweis) und die darauf beruhenden Erwägungen rechtsfehlerhaft ( Art. 95 BGG ) sein sollten,</w:t>
      </w:r>
    </w:p>
    <w:p>
      <w:r>
        <w:t>dass die beiden Eingaben vom 3. und 13. Januar 2020 damit den inhaltlichen Mindestanforderungen an eine Beschwerde offensichtlich nicht genügen,</w:t>
      </w:r>
    </w:p>
    <w:p>
      <w:r>
        <w:t>dass an der unzureichenden Beschwerdebegründung auch die diversen vor Bundesgericht eingereichten Unterlagen, soweit es sich dabei nicht ohnehin um unzulässige Noven im Sinne von Art. 99 Abs. 1 BGG handelt, nichts zu ändern vermögen,</w:t>
      </w:r>
    </w:p>
    <w:p>
      <w:r>
        <w:t>dass deshalb im vereinfachten Verfahren nach Art. 108 Abs. 1 lit. b BGG auf die Beschwerde nicht einzutreten ist,</w:t>
      </w:r>
    </w:p>
    <w:p>
      <w:r>
        <w:t>dass mangels einer gültigen Beschwerde die unentgeltliche Rechtspflege ( Art. 64 BGG ) ausscheidet, indessen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29. Januar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Stanger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