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9C_899/2010 vom 15. Dezember 2010</w:t>
      </w:r>
    </w:p>
    <w:p>
      <w:r>
        <w:t>Bundesgericht, 2010-12-15, DE</w:t>
      </w:r>
    </w:p>
    <w:p>
      <w:r>
        <w:rPr>
          <w:b/>
        </w:rPr>
        <w:t xml:space="preserve">Quelle: </w:t>
      </w:r>
      <w:r>
        <w:t>https://mcp.opencaselaw.ch/entscheid/bger_9C_899_2010</w:t>
      </w:r>
    </w:p>
    <w:p>
      <w:r>
        <w:t>FR: TF 9C_899/2010 du 15 décembre 2010</w:t>
      </w:r>
    </w:p>
    <w:p>
      <w:r>
        <w:t>IT: TF 9C_899/2010 del 15 dicembre 2010</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Die konkrete Beweiswürdigung stellt eine letztinstanzlich nur eingeschränkter Überprüfung zugängliche Tatfrage dar ( Art. 97 Abs. 1 BGG ). Dagegen ist die Beachtung des Untersuchungsgrundsatzes und der Beweiswürdigungsregeln nach Art. 61 lit. c ATSG frei überprüfbare Rechtsfrage ( BGE 132 V 393 E. 3.2 und 4 S. 397 ff.), was auch mit Bezug auf das richtige Beweismasses gilt (Urteil 5A_827/2009 vom 27. Mai 2010 E. 4.3.2, nicht publiziert in BGE 136 III 401 ).</w:t>
      </w:r>
    </w:p>
    <w:p>
      <w:r>
        <w:rPr>
          <w:b/>
        </w:rPr>
        <w:t>E. 2</w:t>
      </w:r>
    </w:p>
    <w:p>
      <w:r>
        <w:t>Streitig ist, ob R.________, der von 1973 bis 1982 Beiträge an die schweizerische AHV leistete, identisch ist mit dem verstorbenen Ehemann der Beschwerdeführerin, so dass jene Beiträge für die Rentenberechnung zu berücksichtigen wären ( Art. 29bis AHVG ).</w:t>
      </w:r>
    </w:p>
    <w:p>
      <w:r>
        <w:rPr>
          <w:b/>
        </w:rPr>
        <w:t>E. 2.1</w:t>
      </w:r>
    </w:p>
    <w:p>
      <w:r>
        <w:t>Laut Art. 141 AHVV hat der Versicherte das Recht, bei jeder Ausgleichskasse, die für ihn ein individuelles Konto führt, einen Auszug über die darin gemachten Eintragungen zu verlangen (Abs. 1 erster Satz). Versicherte, welche die Richtigkeit einer Eintragung nicht anerkennen, können innert 30 Tagen seit Zustellung des Kontenauszuges bei der Ausgleichskasse begründeten Einspruch erheben (Abs. 2). Wird kein Kontenauszug verlangt, gegen einen erhaltenen Kontenauszug kein Einspruch erhoben oder ein erhobener Einspruch abgewiesen, so kann bei Eintritt des Versicherungsfalles die Berichtigung von Eintragungen im individuellen Konto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 BGE 117 V 261 E. 3a S. 262, 110 V 89 E. 4 S. 97; ZAK 1984 S. 178 E. 1 und S. 441, 1982 S. 372 E. 2b).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 BGE 117 V 261 E. 3a S. 262; ZAK 1984 S. 178 E. 1 und S. 441 E. 1 mit Hinweisen).</w:t>
      </w:r>
    </w:p>
    <w:p>
      <w:r>
        <w:rPr>
          <w:b/>
        </w:rPr>
        <w:t>E. 2.2</w:t>
      </w:r>
    </w:p>
    <w:p>
      <w:r>
        <w:t>Die Beschwerdeführerin räumt selber ein, dass die von ihr vorgelegten und von der UNO-Verwaltung in Kosovo nachträglich angefertigten Heirats- und Namenszertifikate den erforderlichen Beweis der Identität des R.________ mit A.________ nicht zu erbringen vermögen ( Art. 141 Abs. 3 AHVV ) und ursprüngliche authentische Zivilstandsurkunden nicht vorhanden seien. Sie beantragt jedoch Nachforschungen bei den einstigen Arbeitgebern des R.________, wobei die Personaldossiers einzuholen und den Arbeitgebern Fotografien des A.________ zur Identifizierung zu unterbreiten seien. Die Frage ist, ob die Vorinstanz gehalten war, weitere Beweismassnahmen zu treffen.</w:t>
      </w:r>
    </w:p>
    <w:p>
      <w:r>
        <w:rPr>
          <w:b/>
        </w:rPr>
        <w:t>E. 3.1</w:t>
      </w:r>
    </w:p>
    <w:p>
      <w:r>
        <w:t>Der IK-Auszug des R.________ ist aktenkundig. Daraus ersichtlich sind die ehemaligen Arbeitgeber. Doch ist das Bestehen von Personaldossiers nach fast 30 Jahren höchst unwahrscheinlich, zumal eine Datenaufbewahrung von dieser Dauer arbeitsrechtlich nicht vorgeschrieben ist. Gemäss Art. 73 Abs. 2 der Verordnung 1 zum Arbeitsgesetz vom 10. Mai 2000 (ArGV1; 822.111) besteht eine Aufbewahrungspflicht für Personaldaten während mindestens fünf Jahren (Urteil 4C.33/1999 vom 11. Juni 1999). Eine längere Aufbewahrung erwiese sich zudem datenschutzrechtlich als problematisch ( BGE 122 I 360 E. 5a S. 362).</w:t>
      </w:r>
    </w:p>
    <w:p>
      <w:r>
        <w:rPr>
          <w:b/>
        </w:rPr>
        <w:t>E. 3.2</w:t>
      </w:r>
    </w:p>
    <w:p>
      <w:r>
        <w:t>Zwar kann nicht gänzlich ausgeschlossen werden, dass die beantragten Beweismassnahmen sachdienliche Ergebnisse zeitigten, hingegen ist dies sehr unwahrscheinlich. Aus der Untersuchungsmaxime folgt nicht die Pflicht der Verwaltung oder des Gerichts, jede denkbare Beweismassnahme durchführen zu müssen, die mit noch so geringer Wahrscheinlichkeit zu einem Ergebnis führen könnte; was erst recht gilt, wenn - wie hier - der behauptete Sachverhalt unplausibel ist: Namentlich wird nicht nur ein geänderter Name, sondern auch ein anderes Geburtsdatum geltend gemacht. Gegen die Identität des R.________ mit A.________ spricht auch, dass der verstorbene Ehegatte der Beschwerdeführerin im Verlaufe des mehrjährigen Verfahrens zur Ermittlung des Invalidenrentenanspruchs durchgehend angegeben hat, im Jahr 1985 erstmals in die Schweiz eingereist zu sein, ohne erkennbaren Vorteil, einen früheren Aufenthalt in der Schweiz zu verschweigen. Gegenteils hätten sich zusätzliche Beitragsjahre auf die ab 1997 zugesprochene Invalidenrente leistungserhöhend ausgewirkt ( Art. 36 Abs. 2 IVG in Verbindung mit Art. 29bis Abs. 1 AHVG ). Anlass für eine rechtliche Überprüfung des individuellen Kontos hätte mithin bereits damals bestanden (vgl. E. 2.1 hievor). Gegen die Darstellungsweise der Beschwerdeführerin spricht ferner das Fehlen echtzeitlicher Dokumente und privater Unterlagen aus der Zeit, in der die Versicherte und ihr verstorbener Ehemann angeblich den Familiennamen R.________ getragen haben. Zu deren Vorlage ist sie von der Beschwerdegegnerin jedenfalls aufgefordert worden und im Rahmen der Mitwirkungspflicht, welcher in diesem Zusammenhang erhöhtes Gewicht zukommt, war sie gehalten, die Unterlagen einzureichen ( Art. 28 Abs. 2 ATSG ; BGE 117 V 261 E. 3d S. 266). Darüber hinaus trifft die Sichtweise nicht zu, ein Wiedererkennen des verstorbenen A.________ als R.________ anhand von Fotografien durch ehemalige Arbeitgeber genüge für eine Zusammenlegung der individuellen Konten. Denn eine zeitliche Distanz von zumindest 28 Jahren erschwert erfahrungsgemäss das zuverlässige Erinnern von Namen, wobei hier erschwerend hinzukommt, dass R.________ gemäss IK-Auszug vom 17. Januar 2008 keine längerdauernden Arbeitsverhältnisse beim gleichen Arbeitgeber aufweist. Würde dessen ungeachtet eine Wiedererkennung nach Vorlage von Fotografien behauptet, wäre dieser Umstand im Rahmen der freien Beweiswürdigung gegen die erwähnten Ungereimtheiten und Unsicherheiten abzuwägen. Der volle Beweis gelänge mit der fotografischen Wiedererkennung allein nicht ( Art. 141 Abs. 3 AHVV ).</w:t>
      </w:r>
    </w:p>
    <w:p>
      <w:r>
        <w:t>Schliesslich wäre es der Beschwerdeführerin zumutbar gewesen, selber sachdienliche Angaben über den Verbleib ihres Ehemannes nach der angeblichen Ausreise aus der Schweiz im Jahre 1982 zu machen. Denn damals waren sie bereits verheiratet. Stattdessen verlangte sie vom Gericht, über die schweizerische Vertretung in Kosovo Nachforschungen anzustellen. Nichts zu ihren Gunsten kann die Beschwerdeführerin aus BGE 117 V 261 herleiten: Ging es dort um Abklärungen zu Lohnzahlungen und Beitragsabrechnungen, steht hier die Frage der Identifizierung einer Person zur Diskussion, womit sich die Beweisthemen erheblich unterscheiden. Die Vorinstanz durfte nach dem Gesagten ohne Verletzung des Untersuchungsgrundsatzes auf die Anordnung weiterer Beweismassnahmen in antizipierter Beweiswürdigung verzichten (vgl. BGE 124 V 90 E. 4b S. 94, 122 V 157 E. 1d S. 162).</w:t>
      </w:r>
    </w:p>
    <w:p>
      <w:r>
        <w:rPr>
          <w:b/>
        </w:rPr>
        <w:t>E. 4</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