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9C_897/2012 vom 21. Mai 2013</w:t>
      </w:r>
    </w:p>
    <w:p>
      <w:r>
        <w:t>Bundesgericht, 2013-05-21, FR</w:t>
      </w:r>
    </w:p>
    <w:p>
      <w:r>
        <w:rPr>
          <w:b/>
        </w:rPr>
        <w:t xml:space="preserve">Quelle: </w:t>
      </w:r>
      <w:r>
        <w:t>https://mcp.opencaselaw.ch/entscheid/bger_9C_897_2012</w:t>
      </w:r>
    </w:p>
    <w:p>
      <w:r>
        <w:t>FR: TF 9C_897/2012 du 21 mai 2013</w:t>
      </w:r>
    </w:p>
    <w:p>
      <w:r>
        <w:t>IT: TF 9C_897/2012 del 21 maggio 2013</w:t>
      </w:r>
    </w:p>
    <w:p>
      <w:pPr>
        <w:pStyle w:val="Heading2"/>
      </w:pPr>
      <w:r>
        <w:t>Erwägungen</w:t>
      </w:r>
    </w:p>
    <w:p>
      <w:r>
        <w:rPr>
          <w:b/>
        </w:rPr>
        <w:t>E. 1</w:t>
      </w:r>
    </w:p>
    <w:p>
      <w:r>
        <w:t>Le jugement entrepris, en tant qu'il renvoie la cause à l'office AI pour instruction complémentaire (ch. 1 du dispositif), constitue une décision incidente, contre laquelle un recours n'est recevable qu'aux conditions de l' art. 93 al. 1 LTF ( ATF 135 V 141 consid. 1.1 p. 143, 133 V 477 consid. 4.2 p. 481 s.), soit si la décision incidente peut causer un préjudice irréparable (al. 1 let. a) ou si l'admission du recours peut conduire immédiatement à une décision finale qui permet d'éviter une procédure probatoire longue et coûteuse (al. 1 let. b).</w:t>
      </w:r>
    </w:p>
    <w:p>
      <w:r>
        <w:rPr>
          <w:b/>
        </w:rPr>
        <w:t>E. 1.1</w:t>
      </w:r>
    </w:p>
    <w:p>
      <w:r>
        <w:t>Le renvoi de la cause à l'administration pour instruction complémentaire et nouvelle décision ne cause en règle générale aucun préjudice irréparable au sens de l' art. 93 al. 1 let. a LTF ( ATF 137 V 314 consid. 2.1 p. 316 et les références; ATF 133 V 477 consid. 5.2.1 et 5.2.2 p. 483, 645 consid. 2.1 p. 647). L'autorité inférieure à laquelle la cause est renvoyée subit cependant un préjudice irréparable au sens de cette disposition légale si l'arrêt de renvoi ne lui laisse plus aucune latitude de jugement pour le reste de la procédure ( ATF 134 II 124 consid. 1.3 p. 127 et les références).</w:t>
      </w:r>
    </w:p>
    <w:p>
      <w:r>
        <w:rPr>
          <w:b/>
        </w:rPr>
        <w:t>E. 1.2</w:t>
      </w:r>
    </w:p>
    <w:p>
      <w:r>
        <w:t>La juridiction cantonale a retenu que l'intimée était, au moment déterminant de la décision entreprise, âgée de 60 ans et 5 mois. Elle a considéré que l'office AI n'avait pas pris position quant à la question de savoir si et dans quelle mesure cet âge réduisait concrètement la possibilité de l'intéressée de mettre à profit sa capacité de gain dans une activité adaptée et que cela justifiait en soi le renvoi de la cause au recourant, le Tribunal n'ayant pas à faire prévaloir son propre point de vue sur un aspect qu'il appartenait en premier lieu à l'office AI d'examiner et de trancher.</w:t>
      </w:r>
    </w:p>
    <w:p>
      <w:r>
        <w:rPr>
          <w:b/>
        </w:rPr>
        <w:t>E. 1.3</w:t>
      </w:r>
    </w:p>
    <w:p>
      <w:r>
        <w:t>Le renvoi de la cause à l'office AI par la juridiction cantonale pour instruction complémentaire sur le point de savoir si et dans quelle mesure l'âge de 60 ans et 5 mois réduit concrètement la possibilité de l'assurée de mettre à profit sa capacité de gain dans une activité adaptée ne laisse plus aucune latitude de jugement pour la suite de la procédure. Singulièrement, il ne laisse pas à l'office AI toute latitude pour examiner si on pouvait exiger de l'intimée qu'elle mît en valeur sa capacité de travail résiduelle dans une activité adaptée à un autre âge que celui qui était le sien lors de la décision de refus de rente d'invalidité du 29 août 2011. Sous cet angle, la condition du préjudice irréparable au sens de l' art. 93 al. 1 let. a LTF apparaît réalisée ( ATF 134 II 124 consid. 1.3 p. 128 et les références). Le recours est ainsi recevable.</w:t>
      </w:r>
    </w:p>
    <w:p>
      <w:r>
        <w:rPr>
          <w:b/>
        </w:rPr>
        <w:t>E. 2</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3</w:t>
      </w:r>
    </w:p>
    <w:p>
      <w:r>
        <w:t>Le litige a trait au droit de l'intimée à une rente d'invalidité et porte sur le point de savoir s'il est exigible de la part de l'assurée qu'elle mette en valeur sa capacité de travail résiduelle dans une activité adaptée aux limitations fonctionnelles, singulièrement sur l'activité adaptée et le revenu d'invalide.</w:t>
      </w:r>
    </w:p>
    <w:p>
      <w:r>
        <w:rPr>
          <w:b/>
        </w:rPr>
        <w:t>E. 3.1</w:t>
      </w:r>
    </w:p>
    <w:p>
      <w:r>
        <w:t>Le jugement entrepris expose de manière exacte et complète les règles légales et la jurisprudence sur les notions d'incapacité de travail ( art. 6 LPGA ), d'invalidité ( art. 8 al. 1 LPGA , art. 4 al. 1 LAI ) et d'incapacité de gain ( art. 7 al. 1 et 2 LPGA ), et sur l'évaluation de l'invalidité selon la méthode générale de comparaison des revenus ( art. 16 LPGA ). On peut ainsi y renvoyer.</w:t>
      </w:r>
    </w:p>
    <w:p>
      <w:r>
        <w:rPr>
          <w:b/>
        </w:rPr>
        <w:t>E. 3.2</w:t>
      </w:r>
    </w:p>
    <w:p>
      <w:r>
        <w:t>S'agissant en particulier de l'évaluation de l'invalidité ( art. 16 LPGA ), le jugement entrepris expose correctement les principes développés dans l'arrêt [du Tribunal fédéral des assurances] I 198/97 du 7 juillet 1998 consid. 3b et les références (in VSI 1998 p. 293) et dans l'arrêt [du Tribunal fédéral des assurances] I 377/98 du 28 juillet 1999 consid. 1 et les références (in VSI 1999 p. 246). Toutefois, ainsi que l'a indiqué également la juridiction cantonale,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(par ex. arrêt 9C_913/2012 du 9 avril 2013 consid. 5.2).</w:t>
      </w:r>
    </w:p>
    <w:p>
      <w:r>
        <w:rPr>
          <w:b/>
        </w:rPr>
        <w:t>E. 3.3</w:t>
      </w:r>
    </w:p>
    <w:p>
      <w:r>
        <w:t>Le Tribunal fédéral a longtemps laissé ouverte la question de savoir à quel moment il convient de se placer pour apprécier les chances d'un assuré proche de l'âge de la retraite de mettre en valeur sa capacité résiduelle de travail sur le marché de l'emploi. Il y a apporté une réponse dans l'arrêt 9C_149/2011 du 25 octobre 2012, publié aux ATF 138 V 457 . Il a statué que ce moment correspond à celui où l'on constate que l'exercice (en plein ou partiel) d'une activité lucrative est exigible du point de vue médical, soit dès que les documents médicaux permettent d'établir de manière fiable les faits y relatifs ( ATF 138 V 457 consid. 3.3 et 3.4 p. 461 s.; arrêt 9C_913/2012 du 9 avril 2013 consid. 5.3).</w:t>
      </w:r>
    </w:p>
    <w:p>
      <w:r>
        <w:rPr>
          <w:b/>
        </w:rPr>
        <w:t>E. 4</w:t>
      </w:r>
    </w:p>
    <w:p>
      <w:r>
        <w:t>Les premiers juges, à l'appui du renvoi pour instruction complémentaire, ont considéré que le SMR et l'office AI n'avaient pas précisé les postes adaptés aux limitations de l'intimée, que les limitations dont les médecins préconisaient le strict respect étaient plutôt contraignantes et qu'une appréciation concrète de l'activité adaptée aurait dû être faite, le renvoi aux activités simples et répétitives selon les statistiques de l'Enquête suisse sur la structure des salaires ne pouvant suffire.</w:t>
      </w:r>
    </w:p>
    <w:p>
      <w:r>
        <w:rPr>
          <w:b/>
        </w:rPr>
        <w:t>E. 4.1</w:t>
      </w:r>
    </w:p>
    <w:p>
      <w:r>
        <w:t>Même si le docteur N.________ dans un questionnaire du 2 septembre 2009 et la doctoresse E.________ dans un même questionnaire du 2 octobre 2009 ont indiqué quels travaux ne pouvaient plus être exigés de l'assurée, ils ne se sont pas exprimés dans leur rapport y relatif sur la capacité de travail de l'intimée dans une activité adaptée. C'est le rapport des docteurs U.________ et C.________ du 21 février 2011 qui a permis de constater de manière fiable les faits déterminants quant à la capacité résiduelle de travail de l'assurée et l'exigibilité de l'exercice d'une activité adaptée. Sous cet angle, les conclusions des docteurs U.________ et C.________ sont dûment motivées et le rapport mentionné ci-dessus du 21 février 2011 remplit les critères jurisprudentiels qui permettent de reconnaître à un rapport médical pleine valeur probante ( ATF 134 V 231 consid. 5.1 p. 232, 133 V 450 consid. 11.1.3 p. 469, 125 V 351 consid. 3a p. 352). C'est ainsi à la date du 21 février 2011 qu'il convient d'examiner si on pouvait exiger de l'intimée qu'elle mît en valeur sa capacité de travail résiduelle dans une activité adaptée. L'assurée était alors âgée de 59 ans et 11 mois. Elle se trouvait à quatre ans et un mois de l'âge ouvrant le droit à une rente de vieillesse de l'AVS ( art. 21 al. 1 let. b LAVS ). On pouvait donc attendre de l'intimée qu'elle mette en valeur sa capacité de travail dans une activité adaptée (arrêt [du Tribunal fédéral des assurances] I 293/05 du 17 juillet 2006, consid. 5.2.2).</w:t>
      </w:r>
    </w:p>
    <w:p>
      <w:r>
        <w:t>Il n'est pas irréaliste de considérer que l'intimée, alors âgée de 59 ans et 11 mois, était en mesure de retrouver un emploi sur un marché équilibré du travail. Il ressort du rapport d'enquête économique sur le ménage du 26 mars 2010 que l'assurée a fréquenté dans son pays d'origine l'école obligatoire, le gymnase et l'université et y a appris la profession de maîtresse de gymnastique et qu'elle a exercé en Suisse de janvier 2003 à octobre 2005 l'activité d'aide-comptable pour le compte d'une pharmacie. Une activité d'aide-comptable pratiquée par exemple pour le compte d'une ou de plusieurs pharmacies apparaît comme étant adaptée aux limitations fonctionnelles décrites par les médecins du SMR dans leur rapport du 21 février 2011.</w:t>
      </w:r>
    </w:p>
    <w:p>
      <w:r>
        <w:rPr>
          <w:b/>
        </w:rPr>
        <w:t>E. 4.2</w:t>
      </w:r>
    </w:p>
    <w:p>
      <w:r>
        <w:t>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CNA ( ATF 135 V 297 consid. 5.2 p. 301; 129 V 472 consid. 4.2.1 p. 475).</w:t>
      </w:r>
    </w:p>
    <w:p>
      <w:r>
        <w:rPr>
          <w:b/>
        </w:rPr>
        <w:t>E. 4.3</w:t>
      </w:r>
    </w:p>
    <w:p>
      <w:r>
        <w:t>Les médecins du SMR ont noté dans leur rapport du 21 février 2011 que sur le plan ostéoarticulaire, l'intimée avait présenté une incapacité de travail de 50 % dans son activité habituelle depuis novembre 2008 au moins, date de l'investigation radiologique. Avec raison, l'office AI s'est fondé sur la situation existant en 2009, soit à l'échéance du délai de carence d'un an, pour procéder à l'évaluation de l'invalidité.</w:t>
      </w:r>
    </w:p>
    <w:p>
      <w:r>
        <w:t>On se trouve en l'espèce dans la situation où le revenu d'invalide pouvait être évalué sur la base de salaires fondés sur les données statistiques résultant de l'ESS (supra, consid. 4.2). Ainsi, l'office AI a calculé le revenu d'invalide sur la base du salaire auquel peuvent prétendre les femmes effectuant des activités simples et répétitives (niveau 4) dans le secteur privé, toutes activités confondues, à savoir un montant de 4'116 fr. par mois - valeur 2008 - (ESS 2008, Tableau TA1 p. 26), soit 49'392 fr. par année. A juste titre, le recourant a ajusté le salaire à la moyenne de 41.7 de la durée hebdomadaire du travail dans les entreprises en 2009 (La Vie économique 11-2010 p. 98, tabelle B9.2) et a tenu compte de l'évolution moyenne des salaires de 2.1 % en 2009 (La Vie économique 11-2010 p. 99, tabelle B10.2), ce qui donnait un revenu de 52'572 fr. 47. Procédant à un abattement sous la forme d'une déduction globale maximale de 25 % ( ATF 126 V 75 ), l'office AI a fixé le revenu d'invalide à 39'429 fr. par année.</w:t>
      </w:r>
    </w:p>
    <w:p>
      <w:r>
        <w:t>Compte tenu d'un revenu de la personne valide de 48'250 fr. par année (valeur 2009), la comparaison des revenus donne une invalidité de 18 % ([48'250 fr. - 39'429 fr.] x 100 : 48'250 fr.), le taux de 18.28 % étant arrondi au pour cent inférieur ( ATF 130 V 121 consid. 3.2 p. 122 s.; SVR 2004 UV n° 12 p. 44). Le taux d'invalidité de 18 % ne confère aucun droit à une rente d'invalidité ( art. 28 al. 2 LAI ).</w:t>
      </w:r>
    </w:p>
    <w:p>
      <w:r>
        <w:rPr>
          <w:b/>
        </w:rPr>
        <w:t>E. 4.4</w:t>
      </w:r>
    </w:p>
    <w:p>
      <w:r>
        <w:t>Sur le vu de ce qui précède, le recours est bien fondé, sans qu'il y ait lieu d'examiner la question évoquée par la juridiction cantonale de l'examen de l'aptitude réelle de l'intimée d'effectuer (nonobstant les limitations physiques importantes) à 50 % d'un plein temps les tâches normales attendues d'une femme de ménage.</w:t>
      </w:r>
    </w:p>
    <w:p>
      <w:r>
        <w:rPr>
          <w:b/>
        </w:rPr>
        <w:t>E. 5</w:t>
      </w:r>
    </w:p>
    <w:p>
      <w:r>
        <w:t>Vu l'issue du litige, les frais judiciaires doivent être mis à la charge de l'intimée, qui succombe ( art. 66 al. 1 LTF ). Elle ne saurait prétendre une indemnité de dépens pour l'instance fédérale ( art. 68 al. 1 LTF ). Les conditions d'octroi de l'assistance judiciaire gratuite étant réalisées ( art. 64 al. 1 et 2 LTF ), celle-ci est accordée à l'intimée, son attention étant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