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9C_891/2015 vom 4. Februar 2016</w:t>
      </w:r>
    </w:p>
    <w:p>
      <w:r>
        <w:t>Bundesgericht, 2016-02-04, DE</w:t>
      </w:r>
    </w:p>
    <w:p>
      <w:r>
        <w:rPr>
          <w:b/>
        </w:rPr>
        <w:t xml:space="preserve">Quelle: </w:t>
      </w:r>
      <w:r>
        <w:t>https://mcp.opencaselaw.ch/entscheid/bger_9C_891_2015</w:t>
      </w:r>
    </w:p>
    <w:p>
      <w:r>
        <w:t>FR: TF 9C_891/2015 du 4 février 2016</w:t>
      </w:r>
    </w:p>
    <w:p>
      <w:r>
        <w:t>IT: TF 9C_891/2015 del 4 febbraio 2016</w:t>
      </w:r>
    </w:p>
    <w:p>
      <w:pPr>
        <w:pStyle w:val="Heading2"/>
      </w:pPr>
      <w:r>
        <w:t>Erwägungen</w:t>
      </w:r>
    </w:p>
    <w:p>
      <w:r>
        <w:rPr>
          <w:b/>
        </w:rPr>
        <w:t>E. 1</w:t>
      </w:r>
    </w:p>
    <w:p>
      <w:r>
        <w:t>Das kantonale Gericht hat die für die Beurteilung einer abgestuften und befristeten Invalidenrente massgeblichen Rechtsgrundlagen in Erwägung 1.1 bis 1.7 seines Entscheides zutreffend dargelegt. Darauf wird verwiesen.</w:t>
      </w:r>
    </w:p>
    <w:p>
      <w:r>
        <w:rPr>
          <w:b/>
        </w:rPr>
        <w:t>E. 2</w:t>
      </w:r>
    </w:p>
    <w:p>
      <w:r>
        <w:t>Materiell trägt der Beschwerdeführer einzig vor, der Rechtsprechung zu Art. 17 Abs. 1 ATSG , insbesondere BGE 141 V 9 , sei nicht zu entnehmen, wie revisionsrechtlich bei bloss vorübergehender Änderung des Gesundheitszustandes vorzugehen sei, wenn dieser sich nach jener wieder gleich präsentiere wie früher zum Zeitpunkt, da eine Invalidenrente zugesprochen worden war, wie das in seinem Fall zutreffe. Insbesondere der Vertrauensschutz gebiete, "in einer derartigen Konstellation ohne Neuberechnung wieder vom gleichen Rentenanspruch des Versicherten auszugehen wie vor der vorübergehenden Veränderung des Gesundheitszustandes", vorbehältlich der Wiedererwägung bei zweifelloser Unrichtigkeit nach Art. 53 Abs. 2 ATSG .</w:t>
      </w:r>
    </w:p>
    <w:p>
      <w:r>
        <w:t>Indes, wenn nach der vom Beschwerdeführer selber angerufenen Rechtsprechung der Eintritt schon</w:t>
      </w:r>
    </w:p>
    <w:p>
      <w:r>
        <w:t>einer anspruchsrelevanten Veränderung des Sachverhaltes zu einer freien Ermittlung des Invaliditätsgrades führt ( BGE 141 V 9 E. 5 und 6 S. 12 ff.), dann muss das</w:t>
      </w:r>
    </w:p>
    <w:p>
      <w:r>
        <w:t>a fortiori dort gelten, wo</w:t>
      </w:r>
    </w:p>
    <w:p>
      <w:r>
        <w:t>zwei anspruchserhebliche Änderungen im Laufe der Zeit eintreten: die - vorübergehende - Verschlimmerung des Gesundheitszustandes und deren Wegfall. Davon abgesehen entfaltet die (ursprüngliche oder revisionsweise) Rentenfestsetzung im Bereich der hier allein interessierenden</w:t>
      </w:r>
    </w:p>
    <w:p>
      <w:r>
        <w:t>invaliditätsmässigen Anspruchsvoraussetzungen keine für alle Zeit unabänderliche materielle Rechtskraft (vgl. BGE 136 V 369 ).</w:t>
      </w:r>
    </w:p>
    <w:p>
      <w:r>
        <w:rPr>
          <w:b/>
        </w:rPr>
        <w:t>E. 3</w:t>
      </w:r>
    </w:p>
    <w:p>
      <w:r>
        <w:t>Prozessual rügt der Beschwerdeführer einen Verstoss gegen Art. 61 lit. d ATSG , indem ihm die Vorinstanz weder Gelegenheit zur Stellungnahme hinsichtlich des vollständigen Wegfalls der Rente ab Oktober 2012 eingeräumt noch ihn auf die Rückzugsmöglichkeit hingewiesen habe.</w:t>
      </w:r>
    </w:p>
    <w:p>
      <w:r>
        <w:t>Die Rüge ist begründet: Mit der vorübergehenden Erhöhung auf eine halbe Rente hat die Vorinstanz dem Beschwerdeführer zwar im Vergleich zur Verfügung vom 23. Juli 2014 zusätzliche Rentenleistungen im Betrag von 16 monatlichen Viertelsrenten zuerkannt; gleichzeitig hat die Vorinstanz aber durch die auf 30. September 2012 festgelegte Befristung des halben Rentenanspruches unter Verweigerung jeglicher Rente für die Folgezeit dem Versicherten im Vergleich zur Verwaltungsverfügung 23 monatliche Viertelsrenten aberkannt, was per saldo eine klare reformatio in peius darstellt. Deren formelle Voraussetzungen nach Art. 61 lit. d ATSG wird die Vorinstanz nachzuholen haben.</w:t>
      </w:r>
    </w:p>
    <w:p>
      <w:r>
        <w:rPr>
          <w:b/>
        </w:rPr>
        <w:t>E. 4</w:t>
      </w:r>
    </w:p>
    <w:p>
      <w:r>
        <w:t>Die Beschwerde ist, soweit nicht unbegründet (E. 2), offensichtlich begründet (E. 3), weshalb sie ohne Schriftenwechsel im Verfahren nach Art. 109 Abs. 2 lit. b BGG zu erledigen ist. Von der Erhebung von Gerichtskosten ist umständehalber abzusehen (Art. 66 Abs. 1 zweiter Satz BGG). Die das Prozessrisiko tragende Beschwerdegegnerin hat den Beschwerdeführer im Umfange seines teilweisen Obsiegens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