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888/2008 vom 26. Januar 2009</w:t>
      </w:r>
    </w:p>
    <w:p>
      <w:r>
        <w:t>Bundesgericht, 2009-01-26, DE</w:t>
      </w:r>
    </w:p>
    <w:p>
      <w:r>
        <w:rPr>
          <w:b/>
        </w:rPr>
        <w:t xml:space="preserve">Quelle: </w:t>
      </w:r>
      <w:r>
        <w:t>https://mcp.opencaselaw.ch/entscheid/bger_9C_888_2008</w:t>
      </w:r>
    </w:p>
    <w:p>
      <w:r>
        <w:t>FR: TF 9C 888/2008 du 26 janvier 2009</w:t>
      </w:r>
    </w:p>
    <w:p>
      <w:r>
        <w:t>IT: TF 9C 888/2008 del 26 gennaio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entwickelt haben (Urteil I 692/06 vom 19. Dezember 2006, E. 3.1).</w:t>
      </w:r>
    </w:p>
    <w:p>
      <w:r>
        <w:rPr>
          <w:b/>
        </w:rPr>
        <w:t>E. 2.1</w:t>
      </w:r>
    </w:p>
    <w:p>
      <w:r>
        <w:t>Bei der Neuanmeldung eines Leistungsanspruchs (Art. 87 Abs. 4 in Verbindung mit Abs. 3 IVV) ist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 BGE 133 V 108 E. 5 S. 110 f.).</w:t>
      </w:r>
    </w:p>
    <w:p>
      <w:r>
        <w:rPr>
          <w:b/>
        </w:rPr>
        <w:t>E. 2.2</w:t>
      </w:r>
    </w:p>
    <w:p>
      <w:r>
        <w:t>Ausgangspunkt für die Beurteilung einer relevanten Sachverhaltsänderung ist somit die Situation, wie sie sich bei Erlass der vom kantonalen Gericht mit Entscheid vom 1. Mai 2003 geschützten Verfügung vom 28. Mai 2002 darstellte, was das kantonale Gericht zu Recht erkannte. Die Vorinstanz hat in diesem Rahmen erwogen, der Beschwerdeführer habe nicht glaubhaft dargelegt, dass sich seit der genannten Verfügung der massgebliche medizinische Sachverhalt in einer für den Rentenanspruch so erheblichen Weise geändert hat, dass die Beschwerdegegnerin auf die am 12. Januar 2007 eingegangene Neuanmeldung hätte eintreten müssen. Der Vergleich der medizinischen Aktenlage vor und nach der ursprünglichen ablehnenden Verfügung vom 28. Mai 2002 ergebe, dass insgesamt keine Anhaltspunkte für eine leistungsrelevante Veränderung der gesundheitlichen Verhältnisse bestünden. Die Befunderhebung und Symptome stimmten überein. Die Selbsteinschätzung des Beschwerdeführers und die sich darauf abstützenden Berichte des Hausarztes Dr. med. W.________, Facharzt FMH für Allgemeine Medizin (vom 22. Januar 2007), und des Dr. med A.________, Facharzt FMH für Orthopädische Chirurgie und Traumatologie des Bewegungsapparates (vom 23. März 2006), genügten für die Glaubhaftmachung nicht, zumal sich aus den neueren Arztberichten klare Hinweise ergäben, dass sich die gesundheitliche Situation gerade nicht verändert habe.</w:t>
      </w:r>
    </w:p>
    <w:p>
      <w:r>
        <w:rPr>
          <w:b/>
        </w:rPr>
        <w:t>E. 2.3</w:t>
      </w:r>
    </w:p>
    <w:p>
      <w:r>
        <w:t>Die Vorinstanz hat damit eine neuanmeldungsrechtlich relevante Sachverhaltsfeststellung getroffen, die nach der gesamten Aktenlage weder offensichtlich unrichtig ist noch auf einer Rechtsverletzung beruht, sodass sie für das Bundesgericht verbindlich ist (oben E. 1). Was der Beschwerdeführer dagegen vorbringt, ist unbehelflich. Insbesondere will Dr. med. A.________ anlässlich der Kernspintomografie der LWS vom 22. Februar 2006 zwar eine im Vergleich zur Voraufnahme (1999) zunehmende Dehydratation L4/5 festgestellt haben. Die Vorinstanz hat dazu richtig bemerkt, dass der Arzt dabei keine wesentliche Höhenminderung festgestellt hat. Als Hauptproblem hat er die massive Dekonditionierung bezeichnet, welche sich aufgrund eines fehlenden Rumpfmuskeltrainings entwickelt hatte, und der durch regelmässige tägliche Übungen zur Verbesserung der Eigenstabilität des Rückens entgegengewirkt werden könne.</w:t>
      </w:r>
    </w:p>
    <w:p>
      <w:r>
        <w:rPr>
          <w:b/>
        </w:rPr>
        <w:t>E. 3</w:t>
      </w:r>
    </w:p>
    <w:p>
      <w:r>
        <w:t>Nach dem Gesagten hat die Vorinstanz nicht Bundesrecht verletzt, wenn sie die Ablehnung des erneuten Rentengesuchs bestätigt hat; denn es fehlt an der für den Erfolg einer Neuanmeldung in erster Linie erforderlichen anspruchsrelevanten Verschlechterung der invaliditätsmässigen Verhältnisse seit der letzten rechtskräftigen Ablehnung.</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